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B855" w14:textId="77777777" w:rsidR="00011D41" w:rsidRPr="00F65CC7" w:rsidRDefault="00011D41" w:rsidP="00011D41">
      <w:pPr>
        <w:jc w:val="both"/>
        <w:rPr>
          <w:rFonts w:ascii="Calibri" w:hAnsi="Calibri"/>
          <w:b/>
        </w:rPr>
      </w:pPr>
      <w:r w:rsidRPr="00F65CC7">
        <w:rPr>
          <w:rFonts w:ascii="Calibri" w:hAnsi="Calibri"/>
          <w:b/>
        </w:rPr>
        <w:t>Not 1 Redovisnings- och värderingsprinciper</w:t>
      </w:r>
    </w:p>
    <w:p w14:paraId="31004FA0" w14:textId="77777777" w:rsidR="00011D41" w:rsidRPr="00F65CC7" w:rsidRDefault="00011D41" w:rsidP="00011D41">
      <w:pPr>
        <w:jc w:val="both"/>
        <w:rPr>
          <w:rFonts w:ascii="Calibri" w:hAnsi="Calibri"/>
        </w:rPr>
      </w:pPr>
      <w:r w:rsidRPr="00F65CC7">
        <w:rPr>
          <w:rFonts w:ascii="Calibri" w:hAnsi="Calibri"/>
        </w:rPr>
        <w:t xml:space="preserve"> </w:t>
      </w:r>
    </w:p>
    <w:p w14:paraId="73FB702F" w14:textId="77777777" w:rsidR="00011D41" w:rsidRPr="00F65CC7" w:rsidRDefault="00011D41" w:rsidP="00011D41">
      <w:pPr>
        <w:pStyle w:val="Rubrik3"/>
        <w:jc w:val="both"/>
        <w:rPr>
          <w:rFonts w:ascii="Calibri" w:hAnsi="Calibri"/>
          <w:sz w:val="22"/>
          <w:szCs w:val="22"/>
        </w:rPr>
      </w:pPr>
      <w:r w:rsidRPr="00F65CC7">
        <w:rPr>
          <w:rFonts w:ascii="Calibri" w:hAnsi="Calibri"/>
          <w:sz w:val="22"/>
          <w:szCs w:val="22"/>
        </w:rPr>
        <w:t>Allmänna upplysningar</w:t>
      </w:r>
    </w:p>
    <w:p w14:paraId="100BAAB8" w14:textId="77777777" w:rsidR="00011D41" w:rsidRPr="00F65CC7" w:rsidRDefault="00011D41" w:rsidP="00011D41">
      <w:pPr>
        <w:jc w:val="both"/>
        <w:rPr>
          <w:rFonts w:ascii="Calibri" w:hAnsi="Calibri"/>
          <w:color w:val="auto"/>
        </w:rPr>
      </w:pPr>
      <w:r w:rsidRPr="00F65CC7">
        <w:rPr>
          <w:rFonts w:ascii="Calibri" w:hAnsi="Calibri"/>
          <w:color w:val="auto"/>
        </w:rPr>
        <w:t>Årsredovisningen har upprättats i enlighet med årsredovisningslagen och Bokföringsnämndens allmänna råd BFNAR 2012:1 Årsredovisning och koncernredovisning (K3).</w:t>
      </w:r>
    </w:p>
    <w:p w14:paraId="2AA12133" w14:textId="77777777" w:rsidR="00011D41" w:rsidRPr="00F65CC7" w:rsidRDefault="00011D41" w:rsidP="00011D41">
      <w:pPr>
        <w:pStyle w:val="A49"/>
        <w:jc w:val="both"/>
        <w:rPr>
          <w:rFonts w:ascii="Calibri" w:hAnsi="Calibri"/>
        </w:rPr>
      </w:pPr>
    </w:p>
    <w:p w14:paraId="02835887" w14:textId="77777777" w:rsidR="00011D41" w:rsidRPr="00F65CC7" w:rsidRDefault="00011D41" w:rsidP="00011D41">
      <w:pPr>
        <w:jc w:val="both"/>
        <w:rPr>
          <w:rFonts w:ascii="Calibri" w:hAnsi="Calibri"/>
          <w:color w:val="auto"/>
        </w:rPr>
      </w:pPr>
      <w:r w:rsidRPr="00F65CC7">
        <w:rPr>
          <w:rFonts w:ascii="Calibri" w:hAnsi="Calibri"/>
          <w:color w:val="auto"/>
        </w:rPr>
        <w:t>Tillgångar, avsättningar och skulder har värderats till anskaffningsvärden om inget annat anges nedan.</w:t>
      </w:r>
    </w:p>
    <w:p w14:paraId="03E7F2F6" w14:textId="77777777" w:rsidR="00011D41" w:rsidRPr="00F65CC7" w:rsidRDefault="00011D41" w:rsidP="00011D41">
      <w:pPr>
        <w:jc w:val="both"/>
        <w:rPr>
          <w:rFonts w:ascii="Calibri" w:hAnsi="Calibri"/>
        </w:rPr>
      </w:pPr>
      <w:r w:rsidRPr="00F65CC7">
        <w:rPr>
          <w:rFonts w:ascii="Calibri" w:hAnsi="Calibri"/>
        </w:rPr>
        <w:t xml:space="preserve"> </w:t>
      </w:r>
    </w:p>
    <w:p w14:paraId="74607885" w14:textId="77777777" w:rsidR="00011D41" w:rsidRPr="006C0C37" w:rsidRDefault="00011D41" w:rsidP="00011D41">
      <w:pPr>
        <w:jc w:val="both"/>
        <w:rPr>
          <w:rFonts w:ascii="Calibri" w:hAnsi="Calibri" w:cs="Calibri"/>
          <w:color w:val="auto"/>
        </w:rPr>
      </w:pPr>
      <w:r w:rsidRPr="006C0C37">
        <w:rPr>
          <w:rFonts w:ascii="Calibri" w:hAnsi="Calibri" w:cs="Calibri"/>
          <w:color w:val="auto"/>
        </w:rPr>
        <w:t>Skulder i utländsk valuta har värderats till balansdagens kurs. Kursvinster och kursförluster på rörelseskulder redovisas i rörelseresultatet.</w:t>
      </w:r>
    </w:p>
    <w:p w14:paraId="33FC7D25" w14:textId="77777777" w:rsidR="00011D41" w:rsidRDefault="00011D41" w:rsidP="00011D41">
      <w:pPr>
        <w:pStyle w:val="A48"/>
        <w:rPr>
          <w:rFonts w:ascii="Calibri" w:hAnsi="Calibri"/>
        </w:rPr>
      </w:pPr>
    </w:p>
    <w:p w14:paraId="7859C24A" w14:textId="77777777" w:rsidR="00011D41" w:rsidRPr="00F65CC7" w:rsidRDefault="00011D41" w:rsidP="00011D41">
      <w:pPr>
        <w:pStyle w:val="A48"/>
        <w:rPr>
          <w:rFonts w:ascii="Calibri" w:hAnsi="Calibri"/>
        </w:rPr>
      </w:pPr>
      <w:r w:rsidRPr="00F65CC7">
        <w:rPr>
          <w:rFonts w:ascii="Calibri" w:hAnsi="Calibri"/>
        </w:rPr>
        <w:t>Moderbolaget tillämpar samma redovisningsprinciper som koncernen, utom i de fall som anges nedan under avsnitt ”Redovisningsprinciper i moderbolaget.”</w:t>
      </w:r>
    </w:p>
    <w:p w14:paraId="267F8686" w14:textId="77777777" w:rsidR="00011D41" w:rsidRPr="00F65CC7" w:rsidRDefault="00011D41" w:rsidP="00011D41">
      <w:pPr>
        <w:jc w:val="both"/>
        <w:rPr>
          <w:rFonts w:ascii="Calibri" w:hAnsi="Calibri"/>
        </w:rPr>
      </w:pPr>
    </w:p>
    <w:p w14:paraId="05587D0E" w14:textId="77777777" w:rsidR="00011D41" w:rsidRPr="00F65CC7" w:rsidRDefault="00011D41" w:rsidP="00011D41">
      <w:pPr>
        <w:pStyle w:val="Rubrik3"/>
        <w:jc w:val="both"/>
        <w:rPr>
          <w:rFonts w:ascii="Calibri" w:hAnsi="Calibri"/>
          <w:sz w:val="22"/>
          <w:szCs w:val="22"/>
        </w:rPr>
      </w:pPr>
      <w:r w:rsidRPr="00F65CC7">
        <w:rPr>
          <w:rFonts w:ascii="Calibri" w:hAnsi="Calibri"/>
          <w:sz w:val="22"/>
          <w:szCs w:val="22"/>
        </w:rPr>
        <w:t>Koncernredovisning</w:t>
      </w:r>
    </w:p>
    <w:p w14:paraId="2EC2224E" w14:textId="77777777" w:rsidR="00011D41" w:rsidRPr="00F65CC7" w:rsidRDefault="00011D41" w:rsidP="00011D41">
      <w:pPr>
        <w:pStyle w:val="A53"/>
        <w:jc w:val="both"/>
        <w:rPr>
          <w:rFonts w:ascii="Calibri" w:hAnsi="Calibri"/>
        </w:rPr>
      </w:pPr>
      <w:r w:rsidRPr="00F65CC7">
        <w:rPr>
          <w:rFonts w:ascii="Calibri" w:hAnsi="Calibri"/>
        </w:rPr>
        <w:t>Koncernredovisningen omfattar moderbolaget och samtliga dotter</w:t>
      </w:r>
      <w:r>
        <w:rPr>
          <w:rFonts w:ascii="Calibri" w:hAnsi="Calibri"/>
        </w:rPr>
        <w:t>bolag</w:t>
      </w:r>
      <w:r w:rsidRPr="00F65CC7">
        <w:rPr>
          <w:rFonts w:ascii="Calibri" w:hAnsi="Calibri"/>
        </w:rPr>
        <w:t>. Dotter</w:t>
      </w:r>
      <w:r>
        <w:rPr>
          <w:rFonts w:ascii="Calibri" w:hAnsi="Calibri"/>
        </w:rPr>
        <w:t>bolag</w:t>
      </w:r>
      <w:r w:rsidRPr="00F65CC7">
        <w:rPr>
          <w:rFonts w:ascii="Calibri" w:hAnsi="Calibri"/>
        </w:rPr>
        <w:t xml:space="preserve"> är </w:t>
      </w:r>
      <w:r>
        <w:rPr>
          <w:rFonts w:ascii="Calibri" w:hAnsi="Calibri"/>
        </w:rPr>
        <w:t>bolag</w:t>
      </w:r>
      <w:r w:rsidRPr="00F65CC7">
        <w:rPr>
          <w:rFonts w:ascii="Calibri" w:hAnsi="Calibri"/>
        </w:rPr>
        <w:t xml:space="preserve"> i vilka moderbolaget direkt eller indirekt innehar mer än 50 % av röstetalet eller på annat sätt har ett bestämmande inflytande över den driftsmässiga och finansiella styrningen.</w:t>
      </w:r>
    </w:p>
    <w:p w14:paraId="68AAE838" w14:textId="77777777" w:rsidR="00011D41" w:rsidRPr="00F65CC7" w:rsidRDefault="00011D41" w:rsidP="00011D41">
      <w:pPr>
        <w:pStyle w:val="A53"/>
        <w:jc w:val="both"/>
        <w:rPr>
          <w:rFonts w:ascii="Calibri" w:hAnsi="Calibri"/>
        </w:rPr>
      </w:pPr>
    </w:p>
    <w:p w14:paraId="7F9B9D08" w14:textId="77777777" w:rsidR="00011D41" w:rsidRPr="00F65CC7" w:rsidRDefault="00011D41" w:rsidP="00011D41">
      <w:pPr>
        <w:pStyle w:val="A53"/>
        <w:jc w:val="both"/>
        <w:rPr>
          <w:rFonts w:ascii="Calibri" w:hAnsi="Calibri"/>
        </w:rPr>
      </w:pPr>
      <w:r w:rsidRPr="00F65CC7">
        <w:rPr>
          <w:rFonts w:ascii="Calibri" w:hAnsi="Calibri"/>
        </w:rPr>
        <w:t>Dotter</w:t>
      </w:r>
      <w:r>
        <w:rPr>
          <w:rFonts w:ascii="Calibri" w:hAnsi="Calibri"/>
        </w:rPr>
        <w:t>bolag</w:t>
      </w:r>
      <w:r w:rsidRPr="00F65CC7">
        <w:rPr>
          <w:rFonts w:ascii="Calibri" w:hAnsi="Calibri"/>
        </w:rPr>
        <w:t xml:space="preserve"> redovisas enligt förvärvsmetoden innebärande att ett förvärv av dotter</w:t>
      </w:r>
      <w:r>
        <w:rPr>
          <w:rFonts w:ascii="Calibri" w:hAnsi="Calibri"/>
        </w:rPr>
        <w:t>bolag</w:t>
      </w:r>
      <w:r w:rsidRPr="00F65CC7">
        <w:rPr>
          <w:rFonts w:ascii="Calibri" w:hAnsi="Calibri"/>
        </w:rPr>
        <w:t xml:space="preserve"> betraktas som en transaktion varigenom koncernen indirekt förvärvar dotter</w:t>
      </w:r>
      <w:r>
        <w:rPr>
          <w:rFonts w:ascii="Calibri" w:hAnsi="Calibri"/>
        </w:rPr>
        <w:t>bolag</w:t>
      </w:r>
      <w:r w:rsidRPr="00F65CC7">
        <w:rPr>
          <w:rFonts w:ascii="Calibri" w:hAnsi="Calibri"/>
        </w:rPr>
        <w:t>ets tillgångar och övertar dess skulder.</w:t>
      </w:r>
    </w:p>
    <w:p w14:paraId="0FE4434E" w14:textId="77777777" w:rsidR="00011D41" w:rsidRPr="00F65CC7" w:rsidRDefault="00011D41" w:rsidP="00011D41">
      <w:pPr>
        <w:pStyle w:val="A52"/>
        <w:rPr>
          <w:rFonts w:ascii="Calibri" w:hAnsi="Calibri"/>
        </w:rPr>
      </w:pPr>
    </w:p>
    <w:p w14:paraId="42F6C381" w14:textId="77777777" w:rsidR="00011D41" w:rsidRPr="00F65CC7" w:rsidRDefault="00011D41" w:rsidP="00011D41">
      <w:pPr>
        <w:pStyle w:val="A53"/>
        <w:jc w:val="both"/>
        <w:rPr>
          <w:rFonts w:ascii="Calibri" w:hAnsi="Calibri"/>
        </w:rPr>
      </w:pPr>
      <w:r w:rsidRPr="00F65CC7">
        <w:rPr>
          <w:rFonts w:ascii="Calibri" w:hAnsi="Calibri"/>
        </w:rPr>
        <w:t xml:space="preserve">Ett gemensamt styrt </w:t>
      </w:r>
      <w:r>
        <w:rPr>
          <w:rFonts w:ascii="Calibri" w:hAnsi="Calibri"/>
        </w:rPr>
        <w:t>bolag</w:t>
      </w:r>
      <w:r w:rsidRPr="00F65CC7">
        <w:rPr>
          <w:rFonts w:ascii="Calibri" w:hAnsi="Calibri"/>
        </w:rPr>
        <w:t xml:space="preserve"> är </w:t>
      </w:r>
      <w:proofErr w:type="gramStart"/>
      <w:r w:rsidRPr="00F65CC7">
        <w:rPr>
          <w:rFonts w:ascii="Calibri" w:hAnsi="Calibri"/>
        </w:rPr>
        <w:t>ett</w:t>
      </w:r>
      <w:r>
        <w:rPr>
          <w:rFonts w:ascii="Calibri" w:hAnsi="Calibri"/>
        </w:rPr>
        <w:t xml:space="preserve"> </w:t>
      </w:r>
      <w:r w:rsidRPr="00F65CC7">
        <w:rPr>
          <w:rFonts w:ascii="Calibri" w:hAnsi="Calibri"/>
        </w:rPr>
        <w:t>joint</w:t>
      </w:r>
      <w:proofErr w:type="gramEnd"/>
      <w:r w:rsidRPr="00F65CC7">
        <w:rPr>
          <w:rFonts w:ascii="Calibri" w:hAnsi="Calibri"/>
        </w:rPr>
        <w:t xml:space="preserve"> venture där det finns en avtalsenlig överenskommelse med en eller flera samägare om ett gemensamt bestämmande inflytande över </w:t>
      </w:r>
      <w:r>
        <w:rPr>
          <w:rFonts w:ascii="Calibri" w:hAnsi="Calibri"/>
        </w:rPr>
        <w:t>bolag</w:t>
      </w:r>
      <w:r w:rsidRPr="00F65CC7">
        <w:rPr>
          <w:rFonts w:ascii="Calibri" w:hAnsi="Calibri"/>
        </w:rPr>
        <w:t>ets finansiella och operationella strategier.</w:t>
      </w:r>
    </w:p>
    <w:p w14:paraId="0FB7003C" w14:textId="77777777" w:rsidR="00011D41" w:rsidRDefault="00011D41" w:rsidP="00011D41">
      <w:pPr>
        <w:pStyle w:val="A53"/>
        <w:jc w:val="both"/>
        <w:rPr>
          <w:rFonts w:ascii="Calibri" w:hAnsi="Calibri"/>
        </w:rPr>
      </w:pPr>
    </w:p>
    <w:p w14:paraId="7A90C580" w14:textId="77777777" w:rsidR="00011D41" w:rsidRPr="00F65CC7" w:rsidRDefault="00011D41" w:rsidP="00011D41">
      <w:pPr>
        <w:pStyle w:val="A53"/>
        <w:jc w:val="both"/>
        <w:rPr>
          <w:rFonts w:ascii="Calibri" w:hAnsi="Calibri"/>
        </w:rPr>
      </w:pPr>
      <w:r w:rsidRPr="00F65CC7">
        <w:rPr>
          <w:rFonts w:ascii="Calibri" w:hAnsi="Calibri"/>
        </w:rPr>
        <w:t>Intresse</w:t>
      </w:r>
      <w:r>
        <w:rPr>
          <w:rFonts w:ascii="Calibri" w:hAnsi="Calibri"/>
        </w:rPr>
        <w:t>bolag</w:t>
      </w:r>
      <w:r w:rsidRPr="00F65CC7">
        <w:rPr>
          <w:rFonts w:ascii="Calibri" w:hAnsi="Calibri"/>
        </w:rPr>
        <w:t xml:space="preserve"> är </w:t>
      </w:r>
      <w:r>
        <w:rPr>
          <w:rFonts w:ascii="Calibri" w:hAnsi="Calibri"/>
        </w:rPr>
        <w:t>bolag</w:t>
      </w:r>
      <w:r w:rsidRPr="00F65CC7">
        <w:rPr>
          <w:rFonts w:ascii="Calibri" w:hAnsi="Calibri"/>
        </w:rPr>
        <w:t xml:space="preserve"> som koncernen har ett betydande inflytande över, men inte bestämmande inflytande. Detta anses föreligga vid en ägarandel på lägst 20 % och högst 50 % av rösterna.</w:t>
      </w:r>
    </w:p>
    <w:p w14:paraId="1EF5B930" w14:textId="77777777" w:rsidR="00011D41" w:rsidRPr="00F65CC7" w:rsidRDefault="00011D41" w:rsidP="00011D41">
      <w:pPr>
        <w:pStyle w:val="A53"/>
        <w:jc w:val="both"/>
        <w:rPr>
          <w:rFonts w:ascii="Calibri" w:hAnsi="Calibri"/>
        </w:rPr>
      </w:pPr>
    </w:p>
    <w:p w14:paraId="53CE1950" w14:textId="77777777" w:rsidR="00011D41" w:rsidRPr="00F65CC7" w:rsidRDefault="00011D41" w:rsidP="00011D41">
      <w:pPr>
        <w:pStyle w:val="A53"/>
        <w:jc w:val="both"/>
        <w:rPr>
          <w:rFonts w:ascii="Calibri" w:hAnsi="Calibri"/>
        </w:rPr>
      </w:pPr>
      <w:r w:rsidRPr="00F65CC7">
        <w:rPr>
          <w:rFonts w:ascii="Calibri" w:hAnsi="Calibri"/>
        </w:rPr>
        <w:t xml:space="preserve">Innehavet i det gemensamt styrda </w:t>
      </w:r>
      <w:r>
        <w:rPr>
          <w:rFonts w:ascii="Calibri" w:hAnsi="Calibri"/>
        </w:rPr>
        <w:t>bolag</w:t>
      </w:r>
      <w:r w:rsidRPr="00F65CC7">
        <w:rPr>
          <w:rFonts w:ascii="Calibri" w:hAnsi="Calibri"/>
        </w:rPr>
        <w:t>et Lunet AB redovisas enligt klyvningsmetoden. Det innebär att bolaget redovisas som om det vore dotter</w:t>
      </w:r>
      <w:r>
        <w:rPr>
          <w:rFonts w:ascii="Calibri" w:hAnsi="Calibri"/>
        </w:rPr>
        <w:t>bolag</w:t>
      </w:r>
      <w:r w:rsidRPr="00F65CC7">
        <w:rPr>
          <w:rFonts w:ascii="Calibri" w:hAnsi="Calibri"/>
        </w:rPr>
        <w:t xml:space="preserve"> med den skillnaden att endast koncernens ägarandel av </w:t>
      </w:r>
      <w:r>
        <w:rPr>
          <w:rFonts w:ascii="Calibri" w:hAnsi="Calibri"/>
        </w:rPr>
        <w:t>bolag</w:t>
      </w:r>
      <w:r w:rsidRPr="00F65CC7">
        <w:rPr>
          <w:rFonts w:ascii="Calibri" w:hAnsi="Calibri"/>
        </w:rPr>
        <w:t>ets intäkter och kostnader respektive tillgångar och skulder redovisas i koncernens resultat- och balansräkningar.</w:t>
      </w:r>
    </w:p>
    <w:p w14:paraId="24ADF8B7" w14:textId="77777777" w:rsidR="00011D41" w:rsidRDefault="00011D41" w:rsidP="00011D41">
      <w:pPr>
        <w:pStyle w:val="A53"/>
        <w:jc w:val="both"/>
        <w:rPr>
          <w:rFonts w:ascii="Calibri" w:hAnsi="Calibri"/>
        </w:rPr>
      </w:pPr>
    </w:p>
    <w:p w14:paraId="412B587A" w14:textId="77777777" w:rsidR="00011D41" w:rsidRPr="00F65CC7" w:rsidRDefault="00011D41" w:rsidP="00011D41">
      <w:pPr>
        <w:pStyle w:val="A53"/>
        <w:jc w:val="both"/>
        <w:rPr>
          <w:rFonts w:ascii="Calibri" w:hAnsi="Calibri"/>
        </w:rPr>
      </w:pPr>
      <w:r w:rsidRPr="005B4B8F">
        <w:rPr>
          <w:rFonts w:ascii="Calibri" w:hAnsi="Calibri"/>
        </w:rPr>
        <w:t xml:space="preserve">Innehavet i intressebolaget </w:t>
      </w:r>
      <w:proofErr w:type="spellStart"/>
      <w:r w:rsidRPr="005B4B8F">
        <w:rPr>
          <w:rFonts w:ascii="Calibri" w:hAnsi="Calibri"/>
        </w:rPr>
        <w:t>LuleKraft</w:t>
      </w:r>
      <w:proofErr w:type="spellEnd"/>
      <w:r w:rsidRPr="005B4B8F">
        <w:rPr>
          <w:rFonts w:ascii="Calibri" w:hAnsi="Calibri"/>
        </w:rPr>
        <w:t xml:space="preserve"> AB redovisas till anskaffningsvärde. I resultaträkningen redovisas erhållen utdelning som intäkt.</w:t>
      </w:r>
    </w:p>
    <w:p w14:paraId="36EE0B8D" w14:textId="77777777" w:rsidR="00011D41" w:rsidRPr="00F65CC7" w:rsidRDefault="00011D41" w:rsidP="00011D41">
      <w:pPr>
        <w:jc w:val="both"/>
        <w:rPr>
          <w:rFonts w:ascii="Calibri" w:hAnsi="Calibri"/>
        </w:rPr>
      </w:pPr>
    </w:p>
    <w:p w14:paraId="653DE1C8" w14:textId="77777777" w:rsidR="00011D41" w:rsidRPr="00F65CC7" w:rsidRDefault="00011D41" w:rsidP="00011D41">
      <w:pPr>
        <w:pStyle w:val="A53"/>
        <w:jc w:val="both"/>
        <w:rPr>
          <w:rFonts w:ascii="Calibri" w:hAnsi="Calibri"/>
        </w:rPr>
      </w:pPr>
      <w:r w:rsidRPr="00F65CC7">
        <w:rPr>
          <w:rFonts w:ascii="Calibri" w:hAnsi="Calibri"/>
        </w:rPr>
        <w:t>Koncerninterna fordringar, skulder, intäkter, kostnader, vinster och förluster som uppkommit genom transaktioner mellan koncernbolag elimineras i sin helhet vid upprättande av koncernredovisningen.</w:t>
      </w:r>
    </w:p>
    <w:p w14:paraId="120BB364" w14:textId="77777777" w:rsidR="00011D41" w:rsidRPr="00F65CC7" w:rsidRDefault="00011D41" w:rsidP="00011D41">
      <w:pPr>
        <w:pStyle w:val="A53"/>
        <w:jc w:val="both"/>
        <w:rPr>
          <w:rFonts w:ascii="Calibri" w:hAnsi="Calibri"/>
        </w:rPr>
      </w:pPr>
    </w:p>
    <w:p w14:paraId="65EDAEDC" w14:textId="77777777" w:rsidR="00011D41" w:rsidRPr="00F65CC7" w:rsidRDefault="00011D41" w:rsidP="00011D41">
      <w:pPr>
        <w:pStyle w:val="A53"/>
        <w:jc w:val="both"/>
        <w:rPr>
          <w:rFonts w:ascii="Calibri" w:hAnsi="Calibri" w:cs="Arial"/>
          <w:color w:val="auto"/>
        </w:rPr>
      </w:pPr>
      <w:r w:rsidRPr="00F65CC7">
        <w:rPr>
          <w:rFonts w:ascii="Calibri" w:hAnsi="Calibri"/>
        </w:rPr>
        <w:t>Vinster som uppkommer från transaktioner med intresse</w:t>
      </w:r>
      <w:r>
        <w:rPr>
          <w:rFonts w:ascii="Calibri" w:hAnsi="Calibri"/>
        </w:rPr>
        <w:t>bolag</w:t>
      </w:r>
      <w:r w:rsidRPr="00F65CC7">
        <w:rPr>
          <w:rFonts w:ascii="Calibri" w:hAnsi="Calibri"/>
        </w:rPr>
        <w:t xml:space="preserve"> och gemensamt styrda </w:t>
      </w:r>
      <w:r>
        <w:rPr>
          <w:rFonts w:ascii="Calibri" w:hAnsi="Calibri"/>
        </w:rPr>
        <w:t>bolag</w:t>
      </w:r>
      <w:r w:rsidRPr="00F65CC7">
        <w:rPr>
          <w:rFonts w:ascii="Calibri" w:hAnsi="Calibri"/>
        </w:rPr>
        <w:t xml:space="preserve"> elimineras i den utsträckning som motsvarar koncernens ägarandel i </w:t>
      </w:r>
      <w:r>
        <w:rPr>
          <w:rFonts w:ascii="Calibri" w:hAnsi="Calibri"/>
        </w:rPr>
        <w:t>bolag</w:t>
      </w:r>
      <w:r w:rsidRPr="00F65CC7">
        <w:rPr>
          <w:rFonts w:ascii="Calibri" w:hAnsi="Calibri"/>
        </w:rPr>
        <w:t>et. Förluster elimineras på samma sätt som vinster men betraktas som en nedskrivningsindikation</w:t>
      </w:r>
      <w:r w:rsidRPr="00F65CC7">
        <w:rPr>
          <w:rFonts w:ascii="Calibri" w:hAnsi="Calibri" w:cs="Arial"/>
          <w:color w:val="auto"/>
        </w:rPr>
        <w:t>.</w:t>
      </w:r>
    </w:p>
    <w:p w14:paraId="6A5A1C37" w14:textId="77777777" w:rsidR="00011D41" w:rsidRPr="00F65CC7" w:rsidRDefault="00011D41" w:rsidP="00011D41">
      <w:pPr>
        <w:jc w:val="both"/>
        <w:rPr>
          <w:rFonts w:ascii="Calibri" w:hAnsi="Calibri"/>
        </w:rPr>
      </w:pPr>
    </w:p>
    <w:p w14:paraId="1DF95235" w14:textId="77777777" w:rsidR="00011D41" w:rsidRPr="00F65CC7" w:rsidRDefault="00011D41" w:rsidP="00011D41">
      <w:pPr>
        <w:pStyle w:val="Rubrik3"/>
        <w:jc w:val="both"/>
        <w:rPr>
          <w:rFonts w:ascii="Calibri" w:hAnsi="Calibri"/>
          <w:sz w:val="22"/>
          <w:szCs w:val="22"/>
        </w:rPr>
      </w:pPr>
      <w:r w:rsidRPr="00F65CC7">
        <w:rPr>
          <w:rFonts w:ascii="Calibri" w:hAnsi="Calibri"/>
          <w:sz w:val="22"/>
          <w:szCs w:val="22"/>
        </w:rPr>
        <w:t>Intäktsredovisning</w:t>
      </w:r>
    </w:p>
    <w:p w14:paraId="00D38822" w14:textId="77777777" w:rsidR="00011D41" w:rsidRPr="00F65CC7" w:rsidRDefault="00011D41" w:rsidP="00011D41">
      <w:pPr>
        <w:jc w:val="both"/>
        <w:rPr>
          <w:rFonts w:ascii="Calibri" w:hAnsi="Calibri"/>
        </w:rPr>
      </w:pPr>
      <w:r w:rsidRPr="00F65CC7">
        <w:rPr>
          <w:rFonts w:ascii="Calibri" w:hAnsi="Calibri"/>
        </w:rPr>
        <w:t xml:space="preserve">Inkomsten redovisas till verkligt värde av vad </w:t>
      </w:r>
      <w:r>
        <w:rPr>
          <w:rFonts w:ascii="Calibri" w:hAnsi="Calibri"/>
        </w:rPr>
        <w:t>bolag</w:t>
      </w:r>
      <w:r w:rsidRPr="00F65CC7">
        <w:rPr>
          <w:rFonts w:ascii="Calibri" w:hAnsi="Calibri"/>
        </w:rPr>
        <w:t xml:space="preserve">et fått eller kommer att få. Det innebär att </w:t>
      </w:r>
      <w:r>
        <w:rPr>
          <w:rFonts w:ascii="Calibri" w:hAnsi="Calibri"/>
        </w:rPr>
        <w:t>bolag</w:t>
      </w:r>
      <w:r w:rsidRPr="00F65CC7">
        <w:rPr>
          <w:rFonts w:ascii="Calibri" w:hAnsi="Calibri"/>
        </w:rPr>
        <w:t xml:space="preserve">et redovisar inkomsten till nominellt värde (fakturabelopp) om </w:t>
      </w:r>
      <w:r>
        <w:rPr>
          <w:rFonts w:ascii="Calibri" w:hAnsi="Calibri"/>
        </w:rPr>
        <w:t>bolag</w:t>
      </w:r>
      <w:r w:rsidRPr="00F65CC7">
        <w:rPr>
          <w:rFonts w:ascii="Calibri" w:hAnsi="Calibri"/>
        </w:rPr>
        <w:t>et får ersättning i likvida medel direkt vid leveransen. Avdrag görs för lämnade rabatter.</w:t>
      </w:r>
    </w:p>
    <w:p w14:paraId="4E1A41C3" w14:textId="77777777" w:rsidR="00011D41" w:rsidRPr="00F65CC7" w:rsidRDefault="00011D41" w:rsidP="00011D41">
      <w:pPr>
        <w:jc w:val="both"/>
        <w:rPr>
          <w:rFonts w:ascii="Calibri" w:hAnsi="Calibri"/>
        </w:rPr>
      </w:pPr>
      <w:r w:rsidRPr="00F65CC7">
        <w:rPr>
          <w:rFonts w:ascii="Calibri" w:hAnsi="Calibri"/>
        </w:rPr>
        <w:lastRenderedPageBreak/>
        <w:t xml:space="preserve"> </w:t>
      </w:r>
    </w:p>
    <w:p w14:paraId="6059C5A2" w14:textId="77777777" w:rsidR="00011D41" w:rsidRPr="00F65CC7" w:rsidRDefault="00011D41" w:rsidP="00011D41">
      <w:pPr>
        <w:pStyle w:val="A50"/>
        <w:rPr>
          <w:rFonts w:ascii="Calibri" w:hAnsi="Calibri"/>
        </w:rPr>
      </w:pPr>
      <w:r w:rsidRPr="00F65CC7">
        <w:rPr>
          <w:rFonts w:ascii="Calibri" w:hAnsi="Calibri"/>
        </w:rPr>
        <w:t xml:space="preserve">Vid försäljning av varor redovisas </w:t>
      </w:r>
      <w:r>
        <w:rPr>
          <w:rFonts w:ascii="Calibri" w:hAnsi="Calibri"/>
        </w:rPr>
        <w:t>bolag</w:t>
      </w:r>
      <w:r w:rsidRPr="00F65CC7">
        <w:rPr>
          <w:rFonts w:ascii="Calibri" w:hAnsi="Calibri"/>
        </w:rPr>
        <w:t xml:space="preserve">ets inkomster som intäkt när </w:t>
      </w:r>
      <w:r>
        <w:rPr>
          <w:rFonts w:ascii="Calibri" w:hAnsi="Calibri"/>
        </w:rPr>
        <w:t>bolag</w:t>
      </w:r>
      <w:r w:rsidRPr="00F65CC7">
        <w:rPr>
          <w:rFonts w:ascii="Calibri" w:hAnsi="Calibri"/>
        </w:rPr>
        <w:t xml:space="preserve">et har överfört de väsentliga risker och förmåner som är förknippade med varornas ägande till köparen, när </w:t>
      </w:r>
      <w:r>
        <w:rPr>
          <w:rFonts w:ascii="Calibri" w:hAnsi="Calibri"/>
        </w:rPr>
        <w:t>bolag</w:t>
      </w:r>
      <w:r w:rsidRPr="00F65CC7">
        <w:rPr>
          <w:rFonts w:ascii="Calibri" w:hAnsi="Calibri"/>
        </w:rPr>
        <w:t xml:space="preserve">et inte behåller något engagemang i den löpande förvaltningen som förknippas med ägande och utövar inte heller någon reell kontroll över de varor som sålts, när inkomsten kan beräknas på ett tillförlitligt sätt, när det är sannolikt att de ekonomiska fördelar som </w:t>
      </w:r>
      <w:r>
        <w:rPr>
          <w:rFonts w:ascii="Calibri" w:hAnsi="Calibri"/>
        </w:rPr>
        <w:t>bolag</w:t>
      </w:r>
      <w:r w:rsidRPr="00F65CC7">
        <w:rPr>
          <w:rFonts w:ascii="Calibri" w:hAnsi="Calibri"/>
        </w:rPr>
        <w:t xml:space="preserve">et ska få av transaktionen kommer att tillfalla </w:t>
      </w:r>
      <w:r>
        <w:rPr>
          <w:rFonts w:ascii="Calibri" w:hAnsi="Calibri"/>
        </w:rPr>
        <w:t>bolag</w:t>
      </w:r>
      <w:r w:rsidRPr="00F65CC7">
        <w:rPr>
          <w:rFonts w:ascii="Calibri" w:hAnsi="Calibri"/>
        </w:rPr>
        <w:t>et samt när de utgifter som uppkommit eller som förväntas uppkomma till följd av transaktionen kan beräknas på ett tillförlitligt sätt.</w:t>
      </w:r>
    </w:p>
    <w:p w14:paraId="6EFFBD74" w14:textId="77777777" w:rsidR="00011D41" w:rsidRPr="00F65CC7" w:rsidRDefault="00011D41" w:rsidP="00011D41">
      <w:pPr>
        <w:pStyle w:val="A50"/>
        <w:rPr>
          <w:rFonts w:ascii="Calibri" w:hAnsi="Calibri"/>
        </w:rPr>
      </w:pPr>
      <w:r w:rsidRPr="00F65CC7">
        <w:rPr>
          <w:rFonts w:ascii="Calibri" w:hAnsi="Calibri"/>
        </w:rPr>
        <w:t xml:space="preserve"> </w:t>
      </w:r>
    </w:p>
    <w:p w14:paraId="6413F0AB" w14:textId="77777777" w:rsidR="00011D41" w:rsidRPr="00F65CC7" w:rsidRDefault="00011D41" w:rsidP="00011D41">
      <w:pPr>
        <w:jc w:val="both"/>
        <w:rPr>
          <w:rFonts w:ascii="Calibri" w:hAnsi="Calibri"/>
          <w:color w:val="auto"/>
        </w:rPr>
      </w:pPr>
      <w:r w:rsidRPr="00F65CC7">
        <w:rPr>
          <w:rFonts w:ascii="Calibri" w:hAnsi="Calibri"/>
          <w:color w:val="auto"/>
        </w:rPr>
        <w:t>Inkomst från uppdrag på löpande räkning redovisas som intäkt i takt med att arbete utförs och</w:t>
      </w:r>
      <w:r w:rsidRPr="00F65CC7">
        <w:rPr>
          <w:rFonts w:ascii="Calibri" w:hAnsi="Calibri"/>
        </w:rPr>
        <w:t xml:space="preserve"> </w:t>
      </w:r>
      <w:r w:rsidRPr="00F65CC7">
        <w:rPr>
          <w:rFonts w:ascii="Calibri" w:hAnsi="Calibri"/>
          <w:color w:val="auto"/>
        </w:rPr>
        <w:t>material levereras eller förbrukas.</w:t>
      </w:r>
    </w:p>
    <w:p w14:paraId="6C04AEC1" w14:textId="77777777" w:rsidR="00011D41" w:rsidRPr="00F65CC7" w:rsidRDefault="00011D41" w:rsidP="00011D41">
      <w:pPr>
        <w:jc w:val="both"/>
        <w:rPr>
          <w:rFonts w:ascii="Calibri" w:hAnsi="Calibri"/>
          <w:color w:val="auto"/>
        </w:rPr>
      </w:pPr>
    </w:p>
    <w:p w14:paraId="0AB10BC4" w14:textId="77777777" w:rsidR="00011D41" w:rsidRPr="00F65CC7" w:rsidRDefault="00011D41" w:rsidP="00011D41">
      <w:pPr>
        <w:pStyle w:val="Rubrik3"/>
        <w:jc w:val="both"/>
        <w:rPr>
          <w:rFonts w:ascii="Calibri" w:hAnsi="Calibri"/>
          <w:color w:val="auto"/>
          <w:sz w:val="22"/>
          <w:szCs w:val="22"/>
        </w:rPr>
      </w:pPr>
      <w:r w:rsidRPr="00F65CC7">
        <w:rPr>
          <w:rFonts w:ascii="Calibri" w:hAnsi="Calibri"/>
          <w:color w:val="auto"/>
          <w:sz w:val="22"/>
          <w:szCs w:val="22"/>
        </w:rPr>
        <w:t>Immateriella anläggningstillgångar</w:t>
      </w:r>
    </w:p>
    <w:p w14:paraId="451D162D" w14:textId="77777777" w:rsidR="00011D41" w:rsidRPr="00F65CC7" w:rsidRDefault="00011D41" w:rsidP="00011D41">
      <w:pPr>
        <w:pStyle w:val="A55"/>
        <w:jc w:val="both"/>
        <w:rPr>
          <w:rFonts w:ascii="Calibri" w:hAnsi="Calibri"/>
          <w:b w:val="0"/>
          <w:color w:val="auto"/>
        </w:rPr>
      </w:pPr>
      <w:r w:rsidRPr="00F65CC7">
        <w:rPr>
          <w:rFonts w:ascii="Calibri" w:hAnsi="Calibri"/>
          <w:b w:val="0"/>
          <w:color w:val="auto"/>
        </w:rPr>
        <w:t xml:space="preserve">Immateriella anläggningstillgångar redovisas till anskaffningsvärde minskat med ackumulerade avskrivningar enligt plan och eventuella nedskrivningar i balansräkningen. På basis av tillgänglig information är det sannolikt att den framtida ekonomiska nyttan som är förknippad med innehavet tillfaller koncernen och att anskaffningsvärdet för tillgången kan beräknas på ett tillförlitligt sätt. </w:t>
      </w:r>
    </w:p>
    <w:p w14:paraId="07E88A21" w14:textId="77777777" w:rsidR="00011D41" w:rsidRPr="00F65CC7" w:rsidRDefault="00011D41" w:rsidP="00011D41">
      <w:pPr>
        <w:pStyle w:val="Rubrik3"/>
        <w:jc w:val="both"/>
        <w:rPr>
          <w:rFonts w:ascii="Calibri" w:hAnsi="Calibri"/>
          <w:color w:val="auto"/>
          <w:sz w:val="22"/>
          <w:szCs w:val="22"/>
        </w:rPr>
      </w:pPr>
    </w:p>
    <w:p w14:paraId="7F07B5ED" w14:textId="77777777" w:rsidR="00011D41" w:rsidRPr="00F65CC7" w:rsidRDefault="00011D41" w:rsidP="00011D41">
      <w:pPr>
        <w:pStyle w:val="A55"/>
        <w:jc w:val="both"/>
        <w:rPr>
          <w:rFonts w:ascii="Calibri" w:hAnsi="Calibri"/>
          <w:b w:val="0"/>
          <w:color w:val="auto"/>
        </w:rPr>
      </w:pPr>
      <w:r w:rsidRPr="00F65CC7">
        <w:rPr>
          <w:rFonts w:ascii="Calibri" w:hAnsi="Calibri"/>
          <w:b w:val="0"/>
          <w:color w:val="auto"/>
        </w:rPr>
        <w:t>Avskrivningar enligt plan baseras på ursprungliga anskaffningsvärden med beräknat restvärde och sker linjärt över tillgångens eller komponentens beräknade nyttjandeperiod. Följande avskrivningstid tillämpas:</w:t>
      </w:r>
    </w:p>
    <w:p w14:paraId="65DB502A" w14:textId="77777777" w:rsidR="00011D41" w:rsidRPr="00F65CC7" w:rsidRDefault="00011D41" w:rsidP="00011D41">
      <w:pPr>
        <w:rPr>
          <w:rFonts w:ascii="Calibri" w:hAnsi="Calibri"/>
          <w:color w:val="auto"/>
        </w:rPr>
      </w:pPr>
    </w:p>
    <w:p w14:paraId="299F39E5" w14:textId="77777777" w:rsidR="00011D41" w:rsidRPr="00F65CC7" w:rsidRDefault="00011D41" w:rsidP="00011D41">
      <w:pPr>
        <w:tabs>
          <w:tab w:val="left" w:pos="4678"/>
          <w:tab w:val="left" w:pos="6663"/>
        </w:tabs>
        <w:ind w:left="2608" w:firstLine="1304"/>
        <w:rPr>
          <w:rFonts w:ascii="Calibri" w:hAnsi="Calibri"/>
          <w:color w:val="auto"/>
        </w:rPr>
      </w:pPr>
      <w:r w:rsidRPr="00F65CC7">
        <w:rPr>
          <w:rFonts w:ascii="Calibri" w:hAnsi="Calibri"/>
          <w:b/>
          <w:color w:val="auto"/>
        </w:rPr>
        <w:tab/>
        <w:t>Koncernen</w:t>
      </w:r>
      <w:r w:rsidRPr="00F65CC7">
        <w:rPr>
          <w:rFonts w:ascii="Calibri" w:hAnsi="Calibri"/>
          <w:color w:val="auto"/>
        </w:rPr>
        <w:tab/>
      </w:r>
      <w:r w:rsidRPr="00F65CC7">
        <w:rPr>
          <w:rFonts w:ascii="Calibri" w:hAnsi="Calibri"/>
          <w:b/>
          <w:color w:val="auto"/>
        </w:rPr>
        <w:t>Moderbolaget</w:t>
      </w:r>
    </w:p>
    <w:p w14:paraId="5C7CC97A" w14:textId="77777777" w:rsidR="00011D41" w:rsidRPr="00F65CC7" w:rsidRDefault="00011D41" w:rsidP="00011D41">
      <w:pPr>
        <w:tabs>
          <w:tab w:val="right" w:pos="5670"/>
          <w:tab w:val="right" w:pos="7797"/>
        </w:tabs>
        <w:rPr>
          <w:rFonts w:ascii="Calibri" w:hAnsi="Calibri"/>
          <w:color w:val="auto"/>
        </w:rPr>
      </w:pPr>
      <w:r w:rsidRPr="00F65CC7">
        <w:rPr>
          <w:rFonts w:ascii="Calibri" w:hAnsi="Calibri"/>
          <w:color w:val="auto"/>
        </w:rPr>
        <w:t>Ledningsrätter</w:t>
      </w:r>
      <w:r w:rsidRPr="00F65CC7">
        <w:rPr>
          <w:rFonts w:ascii="Calibri" w:hAnsi="Calibri"/>
          <w:color w:val="auto"/>
        </w:rPr>
        <w:tab/>
      </w:r>
      <w:proofErr w:type="gramStart"/>
      <w:r>
        <w:rPr>
          <w:rFonts w:ascii="Calibri" w:hAnsi="Calibri"/>
          <w:color w:val="auto"/>
        </w:rPr>
        <w:t>20-</w:t>
      </w:r>
      <w:r w:rsidRPr="00F65CC7">
        <w:rPr>
          <w:rFonts w:ascii="Calibri" w:hAnsi="Calibri"/>
          <w:color w:val="auto"/>
        </w:rPr>
        <w:t>30</w:t>
      </w:r>
      <w:proofErr w:type="gramEnd"/>
      <w:r w:rsidRPr="00F65CC7">
        <w:rPr>
          <w:rFonts w:ascii="Calibri" w:hAnsi="Calibri"/>
          <w:color w:val="auto"/>
        </w:rPr>
        <w:t xml:space="preserve"> år</w:t>
      </w:r>
      <w:r w:rsidRPr="00F65CC7">
        <w:rPr>
          <w:rFonts w:ascii="Calibri" w:hAnsi="Calibri"/>
          <w:color w:val="auto"/>
        </w:rPr>
        <w:tab/>
        <w:t>30 år</w:t>
      </w:r>
    </w:p>
    <w:p w14:paraId="3A4A2B81" w14:textId="77777777" w:rsidR="00011D41" w:rsidRPr="00F65CC7" w:rsidRDefault="00011D41" w:rsidP="00011D41">
      <w:pPr>
        <w:pStyle w:val="Rubrik3"/>
        <w:jc w:val="both"/>
        <w:rPr>
          <w:rFonts w:ascii="Calibri" w:hAnsi="Calibri"/>
          <w:b w:val="0"/>
          <w:color w:val="auto"/>
          <w:sz w:val="22"/>
          <w:szCs w:val="22"/>
        </w:rPr>
      </w:pPr>
    </w:p>
    <w:p w14:paraId="4A73DA11" w14:textId="77777777" w:rsidR="00011D41" w:rsidRPr="00F65CC7" w:rsidRDefault="00011D41" w:rsidP="00011D41">
      <w:pPr>
        <w:pStyle w:val="Rubrik3"/>
        <w:jc w:val="both"/>
        <w:rPr>
          <w:rFonts w:ascii="Calibri" w:hAnsi="Calibri"/>
          <w:sz w:val="22"/>
          <w:szCs w:val="22"/>
        </w:rPr>
      </w:pPr>
      <w:r w:rsidRPr="00F65CC7">
        <w:rPr>
          <w:rFonts w:ascii="Calibri" w:hAnsi="Calibri"/>
          <w:sz w:val="22"/>
          <w:szCs w:val="22"/>
        </w:rPr>
        <w:t>Materiella anläggningstillgångar</w:t>
      </w:r>
    </w:p>
    <w:p w14:paraId="59818EB9" w14:textId="77777777" w:rsidR="00011D41" w:rsidRPr="00F65CC7" w:rsidRDefault="00011D41" w:rsidP="00011D41">
      <w:pPr>
        <w:pStyle w:val="A55"/>
        <w:jc w:val="both"/>
        <w:rPr>
          <w:rFonts w:ascii="Calibri" w:hAnsi="Calibri"/>
          <w:b w:val="0"/>
        </w:rPr>
      </w:pPr>
      <w:r w:rsidRPr="00F65CC7">
        <w:rPr>
          <w:rFonts w:ascii="Calibri" w:hAnsi="Calibri"/>
          <w:b w:val="0"/>
        </w:rPr>
        <w:t xml:space="preserve">Materiella anläggningstillgångar redovisas till anskaffningsvärde minskat med ackumulerade avskrivningar enligt plan och eventuella nedskrivningar i balansräkningen. På basis av tillgänglig information är det sannolikt att den framtida ekonomiska nyttan som är förknippad med innehavet tillfaller koncernen och att anskaffningsvärdet för tillgången kan beräknas på ett tillförlitligt sätt. </w:t>
      </w:r>
    </w:p>
    <w:p w14:paraId="5A4D3329" w14:textId="77777777" w:rsidR="00011D41" w:rsidRPr="00F65CC7" w:rsidRDefault="00011D41" w:rsidP="00011D41">
      <w:pPr>
        <w:pStyle w:val="A55"/>
        <w:jc w:val="both"/>
        <w:rPr>
          <w:rFonts w:ascii="Calibri" w:hAnsi="Calibri"/>
          <w:b w:val="0"/>
        </w:rPr>
      </w:pPr>
      <w:r w:rsidRPr="00F65CC7">
        <w:rPr>
          <w:rFonts w:ascii="Calibri" w:hAnsi="Calibri"/>
          <w:b w:val="0"/>
        </w:rPr>
        <w:t xml:space="preserve"> </w:t>
      </w:r>
    </w:p>
    <w:p w14:paraId="5EB09192" w14:textId="77777777" w:rsidR="00011D41" w:rsidRPr="005864BF" w:rsidRDefault="00011D41" w:rsidP="00011D41">
      <w:pPr>
        <w:pStyle w:val="A40"/>
        <w:jc w:val="both"/>
        <w:rPr>
          <w:rFonts w:ascii="Calibri" w:hAnsi="Calibri" w:cs="Calibri"/>
          <w:color w:val="auto"/>
        </w:rPr>
      </w:pPr>
      <w:r w:rsidRPr="002A0FFF">
        <w:rPr>
          <w:rFonts w:ascii="Calibri" w:hAnsi="Calibri" w:cs="Calibri"/>
          <w:color w:val="auto"/>
        </w:rPr>
        <w:t>Tillkommande utgifter som uppfyller tillgångskriteriet räknas in i tillgångens redovisade värde. Utgifter för löpande underhåll och reparationer redovisas som kostnader när de uppkommer.</w:t>
      </w:r>
    </w:p>
    <w:p w14:paraId="36CD7A89" w14:textId="77777777" w:rsidR="00011D41" w:rsidRPr="00F65CC7" w:rsidRDefault="00011D41" w:rsidP="00011D41">
      <w:pPr>
        <w:pStyle w:val="A55"/>
        <w:jc w:val="both"/>
        <w:rPr>
          <w:rFonts w:ascii="Calibri" w:hAnsi="Calibri"/>
          <w:b w:val="0"/>
        </w:rPr>
      </w:pPr>
      <w:r w:rsidRPr="00F65CC7">
        <w:rPr>
          <w:rFonts w:ascii="Calibri" w:hAnsi="Calibri"/>
          <w:b w:val="0"/>
        </w:rPr>
        <w:t xml:space="preserve"> </w:t>
      </w:r>
    </w:p>
    <w:p w14:paraId="03E2B436" w14:textId="77777777" w:rsidR="00011D41" w:rsidRPr="00F65CC7" w:rsidRDefault="00011D41" w:rsidP="00011D41">
      <w:pPr>
        <w:pStyle w:val="A55"/>
        <w:jc w:val="both"/>
        <w:rPr>
          <w:rFonts w:ascii="Calibri" w:hAnsi="Calibri"/>
          <w:b w:val="0"/>
        </w:rPr>
      </w:pPr>
      <w:r w:rsidRPr="00F65CC7">
        <w:rPr>
          <w:rFonts w:ascii="Calibri" w:hAnsi="Calibri"/>
          <w:b w:val="0"/>
        </w:rPr>
        <w:t>Avskrivningar enligt plan baseras på ursprungliga anskaffningsvärden med beräknat restvärde och sker linjärt över tillgångens eller komponentens beräknade nyttjandeperiod. Följande avskrivningstider tillämpas:</w:t>
      </w:r>
    </w:p>
    <w:p w14:paraId="2B283850" w14:textId="77777777" w:rsidR="00011D41" w:rsidRPr="00F65CC7" w:rsidRDefault="00011D41" w:rsidP="00011D41">
      <w:pPr>
        <w:pStyle w:val="A55"/>
        <w:rPr>
          <w:rFonts w:ascii="Calibri" w:hAnsi="Calibri"/>
        </w:rPr>
      </w:pPr>
    </w:p>
    <w:p w14:paraId="41050D7C" w14:textId="77777777" w:rsidR="00011D41" w:rsidRPr="00F65CC7" w:rsidRDefault="00011D41" w:rsidP="00011D41">
      <w:pPr>
        <w:tabs>
          <w:tab w:val="left" w:pos="4678"/>
          <w:tab w:val="left" w:pos="6663"/>
        </w:tabs>
        <w:ind w:left="2608" w:firstLine="1304"/>
        <w:rPr>
          <w:rFonts w:ascii="Calibri" w:hAnsi="Calibri"/>
        </w:rPr>
      </w:pPr>
      <w:r w:rsidRPr="00F65CC7">
        <w:rPr>
          <w:rFonts w:ascii="Calibri" w:hAnsi="Calibri"/>
          <w:b/>
        </w:rPr>
        <w:tab/>
        <w:t>Koncernen</w:t>
      </w:r>
      <w:r w:rsidRPr="00F65CC7">
        <w:rPr>
          <w:rFonts w:ascii="Calibri" w:hAnsi="Calibri"/>
        </w:rPr>
        <w:tab/>
      </w:r>
      <w:r w:rsidRPr="00F65CC7">
        <w:rPr>
          <w:rFonts w:ascii="Calibri" w:hAnsi="Calibri"/>
          <w:b/>
        </w:rPr>
        <w:t>Moderbolaget</w:t>
      </w:r>
    </w:p>
    <w:p w14:paraId="79E31F44" w14:textId="77777777" w:rsidR="00011D41" w:rsidRPr="00F65CC7" w:rsidRDefault="00011D41" w:rsidP="00011D41">
      <w:pPr>
        <w:tabs>
          <w:tab w:val="right" w:pos="5670"/>
          <w:tab w:val="right" w:pos="7797"/>
        </w:tabs>
        <w:rPr>
          <w:rFonts w:ascii="Calibri" w:hAnsi="Calibri"/>
        </w:rPr>
      </w:pPr>
      <w:r w:rsidRPr="00F65CC7">
        <w:rPr>
          <w:rFonts w:ascii="Calibri" w:hAnsi="Calibri"/>
        </w:rPr>
        <w:t>Byggnader</w:t>
      </w:r>
      <w:r w:rsidRPr="00F65CC7">
        <w:rPr>
          <w:rFonts w:ascii="Calibri" w:hAnsi="Calibri"/>
        </w:rPr>
        <w:tab/>
      </w:r>
      <w:proofErr w:type="gramStart"/>
      <w:r w:rsidRPr="00F65CC7">
        <w:rPr>
          <w:rFonts w:ascii="Calibri" w:hAnsi="Calibri"/>
        </w:rPr>
        <w:t>10-100</w:t>
      </w:r>
      <w:proofErr w:type="gramEnd"/>
      <w:r w:rsidRPr="00F65CC7">
        <w:rPr>
          <w:rFonts w:ascii="Calibri" w:hAnsi="Calibri"/>
        </w:rPr>
        <w:t xml:space="preserve"> år</w:t>
      </w:r>
      <w:r w:rsidRPr="00F65CC7">
        <w:rPr>
          <w:rFonts w:ascii="Calibri" w:hAnsi="Calibri"/>
        </w:rPr>
        <w:tab/>
        <w:t>10-100 år</w:t>
      </w:r>
    </w:p>
    <w:p w14:paraId="19337003" w14:textId="77777777" w:rsidR="00011D41" w:rsidRPr="00F65CC7" w:rsidRDefault="00011D41" w:rsidP="00011D41">
      <w:pPr>
        <w:tabs>
          <w:tab w:val="right" w:pos="5670"/>
          <w:tab w:val="right" w:pos="7797"/>
        </w:tabs>
        <w:rPr>
          <w:rFonts w:ascii="Calibri" w:hAnsi="Calibri"/>
        </w:rPr>
      </w:pPr>
      <w:r w:rsidRPr="00F65CC7">
        <w:rPr>
          <w:rFonts w:ascii="Calibri" w:hAnsi="Calibri"/>
        </w:rPr>
        <w:t>Markanläggningar</w:t>
      </w:r>
      <w:r w:rsidRPr="00F65CC7">
        <w:rPr>
          <w:rFonts w:ascii="Calibri" w:hAnsi="Calibri"/>
        </w:rPr>
        <w:tab/>
      </w:r>
      <w:proofErr w:type="gramStart"/>
      <w:r w:rsidRPr="00F65CC7">
        <w:rPr>
          <w:rFonts w:ascii="Calibri" w:hAnsi="Calibri"/>
        </w:rPr>
        <w:t>20-25</w:t>
      </w:r>
      <w:proofErr w:type="gramEnd"/>
      <w:r w:rsidRPr="00F65CC7">
        <w:rPr>
          <w:rFonts w:ascii="Calibri" w:hAnsi="Calibri"/>
        </w:rPr>
        <w:t xml:space="preserve"> år</w:t>
      </w:r>
      <w:r w:rsidRPr="00F65CC7">
        <w:rPr>
          <w:rFonts w:ascii="Calibri" w:hAnsi="Calibri"/>
        </w:rPr>
        <w:tab/>
        <w:t>20-25 år</w:t>
      </w:r>
    </w:p>
    <w:p w14:paraId="655CE3C0" w14:textId="77777777" w:rsidR="00011D41" w:rsidRPr="00F65CC7" w:rsidRDefault="00011D41" w:rsidP="00011D41">
      <w:pPr>
        <w:tabs>
          <w:tab w:val="right" w:pos="5670"/>
          <w:tab w:val="right" w:pos="7797"/>
        </w:tabs>
        <w:rPr>
          <w:rFonts w:ascii="Calibri" w:hAnsi="Calibri"/>
        </w:rPr>
      </w:pPr>
      <w:r w:rsidRPr="00F65CC7">
        <w:rPr>
          <w:rFonts w:ascii="Calibri" w:hAnsi="Calibri"/>
        </w:rPr>
        <w:t>Förbättringar på annans fastighet</w:t>
      </w:r>
      <w:r w:rsidRPr="00F65CC7">
        <w:rPr>
          <w:rFonts w:ascii="Calibri" w:hAnsi="Calibri"/>
        </w:rPr>
        <w:tab/>
        <w:t>20 år</w:t>
      </w:r>
      <w:r w:rsidRPr="00F65CC7">
        <w:rPr>
          <w:rFonts w:ascii="Calibri" w:hAnsi="Calibri"/>
        </w:rPr>
        <w:tab/>
        <w:t>20 år</w:t>
      </w:r>
    </w:p>
    <w:p w14:paraId="379A3396" w14:textId="77777777" w:rsidR="00011D41" w:rsidRPr="00F65CC7" w:rsidRDefault="00011D41" w:rsidP="00011D41">
      <w:pPr>
        <w:tabs>
          <w:tab w:val="right" w:pos="5670"/>
          <w:tab w:val="right" w:pos="7797"/>
        </w:tabs>
        <w:rPr>
          <w:rFonts w:ascii="Calibri" w:hAnsi="Calibri"/>
        </w:rPr>
      </w:pPr>
      <w:r w:rsidRPr="00F65CC7">
        <w:rPr>
          <w:rFonts w:ascii="Calibri" w:hAnsi="Calibri"/>
        </w:rPr>
        <w:t>Maskiner oc</w:t>
      </w:r>
      <w:r>
        <w:rPr>
          <w:rFonts w:ascii="Calibri" w:hAnsi="Calibri"/>
        </w:rPr>
        <w:t>h andra tekniska anläggningar</w:t>
      </w:r>
      <w:r>
        <w:rPr>
          <w:rFonts w:ascii="Calibri" w:hAnsi="Calibri"/>
        </w:rPr>
        <w:tab/>
      </w:r>
      <w:proofErr w:type="gramStart"/>
      <w:r w:rsidRPr="006C0C37">
        <w:rPr>
          <w:rFonts w:ascii="Calibri" w:hAnsi="Calibri"/>
          <w:color w:val="auto"/>
        </w:rPr>
        <w:t>5-35</w:t>
      </w:r>
      <w:proofErr w:type="gramEnd"/>
      <w:r w:rsidRPr="00F65CC7">
        <w:rPr>
          <w:rFonts w:ascii="Calibri" w:hAnsi="Calibri"/>
        </w:rPr>
        <w:t xml:space="preserve"> år</w:t>
      </w:r>
      <w:r w:rsidRPr="00F65CC7">
        <w:rPr>
          <w:rFonts w:ascii="Calibri" w:hAnsi="Calibri"/>
        </w:rPr>
        <w:tab/>
        <w:t>10-20 år</w:t>
      </w:r>
    </w:p>
    <w:p w14:paraId="31B9DE7B" w14:textId="77777777" w:rsidR="00011D41" w:rsidRPr="00F65CC7" w:rsidRDefault="00011D41" w:rsidP="00011D41">
      <w:pPr>
        <w:tabs>
          <w:tab w:val="right" w:pos="5670"/>
          <w:tab w:val="left" w:pos="6379"/>
          <w:tab w:val="right" w:pos="7797"/>
        </w:tabs>
        <w:rPr>
          <w:rFonts w:ascii="Calibri" w:hAnsi="Calibri"/>
        </w:rPr>
      </w:pPr>
      <w:r w:rsidRPr="00F65CC7">
        <w:rPr>
          <w:rFonts w:ascii="Calibri" w:hAnsi="Calibri"/>
        </w:rPr>
        <w:t>Inventarier, verktyg och installationer</w:t>
      </w:r>
      <w:r w:rsidRPr="00F65CC7">
        <w:rPr>
          <w:rFonts w:ascii="Calibri" w:hAnsi="Calibri"/>
        </w:rPr>
        <w:tab/>
      </w:r>
      <w:proofErr w:type="gramStart"/>
      <w:r w:rsidRPr="00F65CC7">
        <w:rPr>
          <w:rFonts w:ascii="Calibri" w:hAnsi="Calibri"/>
        </w:rPr>
        <w:t>3-10</w:t>
      </w:r>
      <w:proofErr w:type="gramEnd"/>
      <w:r w:rsidRPr="00F65CC7">
        <w:rPr>
          <w:rFonts w:ascii="Calibri" w:hAnsi="Calibri"/>
        </w:rPr>
        <w:t xml:space="preserve"> år</w:t>
      </w:r>
      <w:r w:rsidRPr="00F65CC7">
        <w:rPr>
          <w:rFonts w:ascii="Calibri" w:hAnsi="Calibri"/>
        </w:rPr>
        <w:tab/>
      </w:r>
      <w:r w:rsidRPr="00F65CC7">
        <w:rPr>
          <w:rFonts w:ascii="Calibri" w:hAnsi="Calibri"/>
        </w:rPr>
        <w:tab/>
        <w:t>3-7 år</w:t>
      </w:r>
    </w:p>
    <w:p w14:paraId="4298D81F" w14:textId="77777777" w:rsidR="00011D41" w:rsidRPr="00F65CC7" w:rsidRDefault="00011D41" w:rsidP="00011D41">
      <w:pPr>
        <w:jc w:val="both"/>
        <w:rPr>
          <w:rFonts w:ascii="Calibri" w:hAnsi="Calibri"/>
        </w:rPr>
      </w:pPr>
      <w:r w:rsidRPr="00F65CC7">
        <w:rPr>
          <w:rFonts w:ascii="Calibri" w:hAnsi="Calibri"/>
        </w:rPr>
        <w:t xml:space="preserve"> </w:t>
      </w:r>
    </w:p>
    <w:p w14:paraId="7CA7E304" w14:textId="77777777" w:rsidR="00011D41" w:rsidRPr="00231663" w:rsidRDefault="00011D41" w:rsidP="00011D41">
      <w:pPr>
        <w:pStyle w:val="A55"/>
        <w:jc w:val="both"/>
        <w:rPr>
          <w:rFonts w:ascii="Calibri" w:hAnsi="Calibri"/>
          <w:b w:val="0"/>
          <w:bCs w:val="0"/>
          <w:color w:val="auto"/>
        </w:rPr>
      </w:pPr>
      <w:r w:rsidRPr="00231663">
        <w:rPr>
          <w:rFonts w:ascii="Calibri" w:hAnsi="Calibri"/>
          <w:b w:val="0"/>
          <w:bCs w:val="0"/>
          <w:color w:val="auto"/>
        </w:rPr>
        <w:t xml:space="preserve">Avskrivningstiden på maskiner och andra tekniska anläggningar inom elnätsverksamheten har från och med 1 januari 2020 ändrats från 20 år till en mer differentierad avskrivningstid på </w:t>
      </w:r>
      <w:proofErr w:type="gramStart"/>
      <w:r w:rsidRPr="00231663">
        <w:rPr>
          <w:rFonts w:ascii="Calibri" w:hAnsi="Calibri"/>
          <w:b w:val="0"/>
          <w:bCs w:val="0"/>
          <w:color w:val="auto"/>
        </w:rPr>
        <w:t>7-35</w:t>
      </w:r>
      <w:proofErr w:type="gramEnd"/>
      <w:r w:rsidRPr="00231663">
        <w:rPr>
          <w:rFonts w:ascii="Calibri" w:hAnsi="Calibri"/>
          <w:b w:val="0"/>
          <w:bCs w:val="0"/>
          <w:color w:val="auto"/>
        </w:rPr>
        <w:t xml:space="preserve"> år. Detta för att mer rättvisande återspegla den ekonomiska livslängden för respektive anläggningskategori. Även avskrivningstiden för den så kallade aktiva utrustningen inom bredbandsverksamheten, som finns inom kategorin maskiner och andra tekniska anläggningar, har vid samma tidpunkt och av samma anledning ändrats från 3 till 5 år.</w:t>
      </w:r>
      <w:bookmarkStart w:id="0" w:name="62E6EA5D-9E6A-4C0B-B1F9-C3828C29838E26"/>
      <w:bookmarkEnd w:id="0"/>
      <w:r w:rsidRPr="00231663">
        <w:rPr>
          <w:rFonts w:ascii="Calibri" w:hAnsi="Calibri"/>
          <w:b w:val="0"/>
          <w:bCs w:val="0"/>
          <w:color w:val="auto"/>
        </w:rPr>
        <w:t xml:space="preserve"> </w:t>
      </w:r>
    </w:p>
    <w:p w14:paraId="4FBD14C7" w14:textId="77777777" w:rsidR="00011D41" w:rsidRDefault="00011D41" w:rsidP="00011D41">
      <w:pPr>
        <w:pStyle w:val="A55"/>
        <w:jc w:val="both"/>
        <w:rPr>
          <w:rFonts w:ascii="Calibri" w:hAnsi="Calibri"/>
        </w:rPr>
      </w:pPr>
    </w:p>
    <w:p w14:paraId="23D2E7BE" w14:textId="77777777" w:rsidR="00011D41" w:rsidRPr="00F65CC7" w:rsidRDefault="00011D41" w:rsidP="00011D41">
      <w:pPr>
        <w:pStyle w:val="A55"/>
        <w:jc w:val="both"/>
        <w:rPr>
          <w:rFonts w:ascii="Calibri" w:hAnsi="Calibri"/>
          <w:b w:val="0"/>
        </w:rPr>
      </w:pPr>
      <w:r w:rsidRPr="00F65CC7">
        <w:rPr>
          <w:rFonts w:ascii="Calibri" w:hAnsi="Calibri"/>
          <w:b w:val="0"/>
        </w:rPr>
        <w:lastRenderedPageBreak/>
        <w:t>Det egna arbete som under året har aktiverats i egna anläggningar redovisas i resultaträkningen som aktiverat arbete för egen räkning.</w:t>
      </w:r>
    </w:p>
    <w:p w14:paraId="6D112881" w14:textId="77777777" w:rsidR="00011D41" w:rsidRPr="00F65CC7" w:rsidRDefault="00011D41" w:rsidP="00011D41">
      <w:pPr>
        <w:pStyle w:val="A55"/>
        <w:jc w:val="both"/>
        <w:rPr>
          <w:rFonts w:ascii="Calibri" w:hAnsi="Calibri"/>
          <w:b w:val="0"/>
        </w:rPr>
      </w:pPr>
    </w:p>
    <w:p w14:paraId="464BDDD1" w14:textId="77777777" w:rsidR="00011D41" w:rsidRPr="00F65CC7" w:rsidRDefault="00011D41" w:rsidP="00011D41">
      <w:pPr>
        <w:pStyle w:val="A55"/>
        <w:jc w:val="both"/>
        <w:rPr>
          <w:rFonts w:ascii="Calibri" w:hAnsi="Calibri"/>
          <w:b w:val="0"/>
        </w:rPr>
      </w:pPr>
      <w:r w:rsidRPr="00F65CC7">
        <w:rPr>
          <w:rFonts w:ascii="Calibri" w:hAnsi="Calibri"/>
          <w:b w:val="0"/>
        </w:rPr>
        <w:t>För byggnader, maskiner och andra tekniska anläggningar har skillnaden i förbrukningen av betydande komponenter bedömts vara väsentlig. De har därför delats upp i komponenter, vilka skrivs av separat.</w:t>
      </w:r>
    </w:p>
    <w:p w14:paraId="678965A1" w14:textId="77777777" w:rsidR="00011D41" w:rsidRPr="00F65CC7" w:rsidRDefault="00011D41" w:rsidP="00011D41">
      <w:pPr>
        <w:jc w:val="both"/>
        <w:rPr>
          <w:rFonts w:ascii="Calibri" w:hAnsi="Calibri"/>
        </w:rPr>
      </w:pPr>
    </w:p>
    <w:p w14:paraId="1D0CAF00" w14:textId="77777777" w:rsidR="00011D41" w:rsidRPr="00F65CC7" w:rsidRDefault="00011D41" w:rsidP="00011D41">
      <w:pPr>
        <w:pStyle w:val="Rubrik3"/>
        <w:jc w:val="both"/>
        <w:rPr>
          <w:rFonts w:ascii="Calibri" w:hAnsi="Calibri"/>
          <w:sz w:val="22"/>
          <w:szCs w:val="22"/>
        </w:rPr>
      </w:pPr>
      <w:r w:rsidRPr="00F65CC7">
        <w:rPr>
          <w:rFonts w:ascii="Calibri" w:hAnsi="Calibri"/>
          <w:sz w:val="22"/>
          <w:szCs w:val="22"/>
        </w:rPr>
        <w:t>Elcertifikat och utsläppsrätter</w:t>
      </w:r>
    </w:p>
    <w:p w14:paraId="0AA260DB" w14:textId="77777777" w:rsidR="00011D41" w:rsidRPr="00F65CC7" w:rsidRDefault="00011D41" w:rsidP="00011D41">
      <w:pPr>
        <w:widowControl/>
        <w:autoSpaceDE/>
        <w:autoSpaceDN/>
        <w:adjustRightInd/>
        <w:jc w:val="both"/>
        <w:rPr>
          <w:rFonts w:ascii="Calibri" w:hAnsi="Calibri"/>
          <w:color w:val="auto"/>
        </w:rPr>
      </w:pPr>
      <w:r w:rsidRPr="00F65CC7">
        <w:rPr>
          <w:rFonts w:ascii="Calibri" w:hAnsi="Calibri"/>
          <w:color w:val="auto"/>
        </w:rPr>
        <w:t>Elcertifikat och utsläppsrätter utgör kortfristiga innehav. Elcertifikat värderas till anskaffningsvärde och utsläppsrätter värderas till verkligt värde. Dessa tillgångar utgör immateriella rättigheter och är att jämställa med betalningsmedel eftersom de som huvudregel ska användas för att reglera den skuld som uppkommer genom förbrukning eller försäljning.</w:t>
      </w:r>
    </w:p>
    <w:p w14:paraId="126A5A79" w14:textId="77777777" w:rsidR="00011D41" w:rsidRPr="00F65CC7" w:rsidRDefault="00011D41" w:rsidP="00011D41">
      <w:pPr>
        <w:widowControl/>
        <w:autoSpaceDE/>
        <w:autoSpaceDN/>
        <w:adjustRightInd/>
        <w:jc w:val="both"/>
        <w:rPr>
          <w:rFonts w:ascii="Calibri" w:hAnsi="Calibri"/>
        </w:rPr>
      </w:pPr>
    </w:p>
    <w:p w14:paraId="151D8E2E" w14:textId="77777777" w:rsidR="00011D41" w:rsidRPr="00F65CC7" w:rsidRDefault="00011D41" w:rsidP="00011D41">
      <w:pPr>
        <w:pStyle w:val="Rubrik3"/>
        <w:jc w:val="both"/>
        <w:rPr>
          <w:rFonts w:ascii="Calibri" w:hAnsi="Calibri"/>
          <w:sz w:val="22"/>
          <w:szCs w:val="22"/>
        </w:rPr>
      </w:pPr>
      <w:r w:rsidRPr="00F65CC7">
        <w:rPr>
          <w:rFonts w:ascii="Calibri" w:hAnsi="Calibri"/>
          <w:sz w:val="22"/>
          <w:szCs w:val="22"/>
        </w:rPr>
        <w:t>Leasing</w:t>
      </w:r>
    </w:p>
    <w:p w14:paraId="29E4335C" w14:textId="77777777" w:rsidR="00011D41" w:rsidRPr="00F65CC7" w:rsidRDefault="00011D41" w:rsidP="00011D41">
      <w:pPr>
        <w:widowControl/>
        <w:autoSpaceDE/>
        <w:autoSpaceDN/>
        <w:adjustRightInd/>
        <w:jc w:val="both"/>
        <w:rPr>
          <w:rFonts w:ascii="Calibri" w:hAnsi="Calibri"/>
          <w:color w:val="auto"/>
        </w:rPr>
      </w:pPr>
      <w:r w:rsidRPr="00F65CC7">
        <w:rPr>
          <w:rFonts w:ascii="Calibri" w:hAnsi="Calibri"/>
          <w:color w:val="auto"/>
        </w:rPr>
        <w:t xml:space="preserve">Leasingavtal klassificeras antingen som finansiell eller operationell leasing. Finansiell leasing föreligger då de ekonomiska riskerna och fördelarna som är förknippade med ägandet i allt väsentligt är överförda på leasingtagaren. Övriga leasingavtal är operationella leasingavtal. Klassificering av leasingavtal görs vid leasingavtalets ingång. </w:t>
      </w:r>
      <w:r w:rsidRPr="00352748">
        <w:rPr>
          <w:rFonts w:ascii="Calibri" w:hAnsi="Calibri"/>
          <w:color w:val="auto"/>
        </w:rPr>
        <w:t>Koncernen redovisar finansiell leasing från år 2016.</w:t>
      </w:r>
    </w:p>
    <w:p w14:paraId="32931030" w14:textId="77777777" w:rsidR="00011D41" w:rsidRPr="00F65CC7" w:rsidRDefault="00011D41" w:rsidP="00011D41">
      <w:pPr>
        <w:widowControl/>
        <w:autoSpaceDE/>
        <w:autoSpaceDN/>
        <w:adjustRightInd/>
        <w:jc w:val="both"/>
        <w:rPr>
          <w:rFonts w:ascii="Calibri" w:hAnsi="Calibri"/>
          <w:color w:val="auto"/>
        </w:rPr>
      </w:pPr>
    </w:p>
    <w:p w14:paraId="4EE0CB04" w14:textId="77777777" w:rsidR="00011D41" w:rsidRPr="00F65CC7" w:rsidRDefault="00011D41" w:rsidP="00011D41">
      <w:pPr>
        <w:widowControl/>
        <w:autoSpaceDE/>
        <w:autoSpaceDN/>
        <w:adjustRightInd/>
        <w:jc w:val="both"/>
        <w:rPr>
          <w:rFonts w:ascii="Calibri" w:hAnsi="Calibri"/>
          <w:b/>
          <w:i/>
          <w:color w:val="auto"/>
        </w:rPr>
      </w:pPr>
      <w:r w:rsidRPr="00F65CC7">
        <w:rPr>
          <w:rFonts w:ascii="Calibri" w:hAnsi="Calibri"/>
          <w:b/>
          <w:i/>
          <w:color w:val="auto"/>
        </w:rPr>
        <w:t>Finansiell leasing</w:t>
      </w:r>
    </w:p>
    <w:p w14:paraId="20D94088" w14:textId="77777777" w:rsidR="00011D41" w:rsidRPr="00F65CC7" w:rsidRDefault="00011D41" w:rsidP="00011D41">
      <w:pPr>
        <w:widowControl/>
        <w:autoSpaceDE/>
        <w:autoSpaceDN/>
        <w:adjustRightInd/>
        <w:jc w:val="both"/>
        <w:rPr>
          <w:rFonts w:ascii="Calibri" w:hAnsi="Calibri"/>
          <w:color w:val="auto"/>
        </w:rPr>
      </w:pPr>
      <w:r w:rsidRPr="00F65CC7">
        <w:rPr>
          <w:rFonts w:ascii="Calibri" w:hAnsi="Calibri"/>
          <w:color w:val="auto"/>
        </w:rPr>
        <w:t>Rättigheter och skyldigheter enligt finansiella leasingavtal där koncernen är leasingtagare redovisas i koncernredovisningen som tillgång och skuld i balansräkningen. Tillgången och skulden redovisas vid först redovisningstillfället till tillgångens verkliga värde.</w:t>
      </w:r>
    </w:p>
    <w:p w14:paraId="498D6059" w14:textId="77777777" w:rsidR="00011D41" w:rsidRPr="00F65CC7" w:rsidRDefault="00011D41" w:rsidP="00011D41">
      <w:pPr>
        <w:widowControl/>
        <w:autoSpaceDE/>
        <w:autoSpaceDN/>
        <w:adjustRightInd/>
        <w:jc w:val="both"/>
        <w:rPr>
          <w:rFonts w:ascii="Calibri" w:hAnsi="Calibri"/>
          <w:color w:val="auto"/>
        </w:rPr>
      </w:pPr>
    </w:p>
    <w:p w14:paraId="4FB5FFFC" w14:textId="77777777" w:rsidR="00011D41" w:rsidRPr="00F65CC7" w:rsidRDefault="00011D41" w:rsidP="00011D41">
      <w:pPr>
        <w:widowControl/>
        <w:autoSpaceDE/>
        <w:autoSpaceDN/>
        <w:adjustRightInd/>
        <w:jc w:val="both"/>
        <w:rPr>
          <w:rFonts w:ascii="Calibri" w:hAnsi="Calibri"/>
          <w:color w:val="auto"/>
        </w:rPr>
      </w:pPr>
      <w:proofErr w:type="gramStart"/>
      <w:r w:rsidRPr="00F65CC7">
        <w:rPr>
          <w:rFonts w:ascii="Calibri" w:hAnsi="Calibri"/>
          <w:color w:val="auto"/>
        </w:rPr>
        <w:t>Leasade</w:t>
      </w:r>
      <w:proofErr w:type="gramEnd"/>
      <w:r w:rsidRPr="00F65CC7">
        <w:rPr>
          <w:rFonts w:ascii="Calibri" w:hAnsi="Calibri"/>
          <w:color w:val="auto"/>
        </w:rPr>
        <w:t xml:space="preserve"> tillgångar skrivs av linjärt över den beräknade nyttjandeperioden.</w:t>
      </w:r>
    </w:p>
    <w:p w14:paraId="142A5598" w14:textId="77777777" w:rsidR="00011D41" w:rsidRPr="00F65CC7" w:rsidRDefault="00011D41" w:rsidP="00011D41">
      <w:pPr>
        <w:widowControl/>
        <w:autoSpaceDE/>
        <w:autoSpaceDN/>
        <w:adjustRightInd/>
        <w:jc w:val="both"/>
        <w:rPr>
          <w:rFonts w:ascii="Calibri" w:hAnsi="Calibri"/>
          <w:color w:val="auto"/>
        </w:rPr>
      </w:pPr>
    </w:p>
    <w:p w14:paraId="3722630A" w14:textId="77777777" w:rsidR="00011D41" w:rsidRPr="00F65CC7" w:rsidRDefault="00011D41" w:rsidP="00011D41">
      <w:pPr>
        <w:widowControl/>
        <w:autoSpaceDE/>
        <w:autoSpaceDN/>
        <w:adjustRightInd/>
        <w:jc w:val="both"/>
        <w:rPr>
          <w:rFonts w:ascii="Calibri" w:hAnsi="Calibri"/>
          <w:color w:val="auto"/>
        </w:rPr>
      </w:pPr>
      <w:r w:rsidRPr="00F65CC7">
        <w:rPr>
          <w:rFonts w:ascii="Calibri" w:hAnsi="Calibri"/>
          <w:color w:val="auto"/>
        </w:rPr>
        <w:t>Förpliktelsen enligt finansiella leasingavtal redovisas som lång- respektive kortfristig skuld. Betalningar av minimileasingavgifter redovisas som ränta och amortering av skulderna.</w:t>
      </w:r>
    </w:p>
    <w:p w14:paraId="3D3E40AA" w14:textId="77777777" w:rsidR="00011D41" w:rsidRPr="00F65CC7" w:rsidRDefault="00011D41" w:rsidP="00011D41">
      <w:pPr>
        <w:widowControl/>
        <w:autoSpaceDE/>
        <w:autoSpaceDN/>
        <w:adjustRightInd/>
        <w:jc w:val="both"/>
        <w:rPr>
          <w:rFonts w:ascii="Calibri" w:hAnsi="Calibri"/>
          <w:color w:val="auto"/>
        </w:rPr>
      </w:pPr>
    </w:p>
    <w:p w14:paraId="18437EEB" w14:textId="77777777" w:rsidR="00011D41" w:rsidRPr="00F65CC7" w:rsidRDefault="00011D41" w:rsidP="00011D41">
      <w:pPr>
        <w:widowControl/>
        <w:autoSpaceDE/>
        <w:autoSpaceDN/>
        <w:adjustRightInd/>
        <w:jc w:val="both"/>
        <w:rPr>
          <w:rFonts w:ascii="Calibri" w:hAnsi="Calibri"/>
          <w:color w:val="auto"/>
        </w:rPr>
      </w:pPr>
      <w:r w:rsidRPr="00F65CC7">
        <w:rPr>
          <w:rFonts w:ascii="Calibri" w:hAnsi="Calibri"/>
          <w:color w:val="auto"/>
        </w:rPr>
        <w:t xml:space="preserve">Minimileasingavgifterna enligt finansiella leasingavtal fördelas mellan leasingkostnad och amortering på den utestående skulden. Räntekostnaden fördelas över leasingperioden så att varje räkenskapsår belastas med ett belopp som motsvarar en fast räntesats för den under respektive räkenskapsår redovisade skulden. Variabla avgifter </w:t>
      </w:r>
      <w:proofErr w:type="spellStart"/>
      <w:r w:rsidRPr="00F65CC7">
        <w:rPr>
          <w:rFonts w:ascii="Calibri" w:hAnsi="Calibri"/>
          <w:color w:val="auto"/>
        </w:rPr>
        <w:t>kostnadsförs</w:t>
      </w:r>
      <w:proofErr w:type="spellEnd"/>
      <w:r w:rsidRPr="00F65CC7">
        <w:rPr>
          <w:rFonts w:ascii="Calibri" w:hAnsi="Calibri"/>
          <w:color w:val="auto"/>
        </w:rPr>
        <w:t xml:space="preserve"> under det räkenskapsår som de uppkommer.</w:t>
      </w:r>
    </w:p>
    <w:p w14:paraId="7068C9F2" w14:textId="77777777" w:rsidR="00011D41" w:rsidRPr="00F65CC7" w:rsidRDefault="00011D41" w:rsidP="00011D41">
      <w:pPr>
        <w:widowControl/>
        <w:autoSpaceDE/>
        <w:autoSpaceDN/>
        <w:adjustRightInd/>
        <w:jc w:val="both"/>
        <w:rPr>
          <w:rFonts w:ascii="Calibri" w:hAnsi="Calibri"/>
          <w:color w:val="auto"/>
        </w:rPr>
      </w:pPr>
    </w:p>
    <w:p w14:paraId="7F183B2D" w14:textId="77777777" w:rsidR="00011D41" w:rsidRPr="00F65CC7" w:rsidRDefault="00011D41" w:rsidP="00011D41">
      <w:pPr>
        <w:widowControl/>
        <w:autoSpaceDE/>
        <w:autoSpaceDN/>
        <w:adjustRightInd/>
        <w:jc w:val="both"/>
        <w:rPr>
          <w:rFonts w:ascii="Calibri" w:hAnsi="Calibri"/>
          <w:b/>
          <w:i/>
          <w:color w:val="auto"/>
        </w:rPr>
      </w:pPr>
      <w:r w:rsidRPr="00F65CC7">
        <w:rPr>
          <w:rFonts w:ascii="Calibri" w:hAnsi="Calibri"/>
          <w:b/>
          <w:i/>
          <w:color w:val="auto"/>
        </w:rPr>
        <w:t>Operationell leasing</w:t>
      </w:r>
    </w:p>
    <w:p w14:paraId="5FA32DB3" w14:textId="77777777" w:rsidR="00011D41" w:rsidRPr="00F65CC7" w:rsidRDefault="00011D41" w:rsidP="00011D41">
      <w:pPr>
        <w:jc w:val="both"/>
        <w:rPr>
          <w:rFonts w:ascii="Calibri" w:hAnsi="Calibri"/>
          <w:color w:val="auto"/>
        </w:rPr>
      </w:pPr>
      <w:r w:rsidRPr="00F65CC7">
        <w:rPr>
          <w:rFonts w:ascii="Calibri" w:hAnsi="Calibri"/>
          <w:color w:val="auto"/>
        </w:rPr>
        <w:t xml:space="preserve">Minimileasingavgifter enligt operationella leasingavtal där koncernen är leasingtagare </w:t>
      </w:r>
      <w:proofErr w:type="spellStart"/>
      <w:r w:rsidRPr="00F65CC7">
        <w:rPr>
          <w:rFonts w:ascii="Calibri" w:hAnsi="Calibri"/>
          <w:color w:val="auto"/>
        </w:rPr>
        <w:t>kostnadsförs</w:t>
      </w:r>
      <w:proofErr w:type="spellEnd"/>
      <w:r w:rsidRPr="00F65CC7">
        <w:rPr>
          <w:rFonts w:ascii="Calibri" w:hAnsi="Calibri"/>
          <w:color w:val="auto"/>
        </w:rPr>
        <w:t xml:space="preserve"> linjärt över leasingperioden.</w:t>
      </w:r>
    </w:p>
    <w:p w14:paraId="121D0BB7" w14:textId="77777777" w:rsidR="00011D41" w:rsidRPr="00F65CC7" w:rsidRDefault="00011D41" w:rsidP="00011D41">
      <w:pPr>
        <w:rPr>
          <w:rFonts w:ascii="Calibri" w:hAnsi="Calibri"/>
        </w:rPr>
      </w:pPr>
    </w:p>
    <w:p w14:paraId="7F571D3B" w14:textId="77777777" w:rsidR="00011D41" w:rsidRPr="00F65CC7" w:rsidRDefault="00011D41" w:rsidP="00011D41">
      <w:pPr>
        <w:pStyle w:val="Rubrik3"/>
        <w:jc w:val="both"/>
        <w:rPr>
          <w:rFonts w:ascii="Calibri" w:hAnsi="Calibri"/>
          <w:sz w:val="22"/>
          <w:szCs w:val="22"/>
        </w:rPr>
      </w:pPr>
      <w:r w:rsidRPr="00F65CC7">
        <w:rPr>
          <w:rFonts w:ascii="Calibri" w:hAnsi="Calibri"/>
          <w:sz w:val="22"/>
          <w:szCs w:val="22"/>
        </w:rPr>
        <w:t>Varulager</w:t>
      </w:r>
    </w:p>
    <w:p w14:paraId="4C0951A6" w14:textId="77777777" w:rsidR="00011D41" w:rsidRPr="00F65CC7" w:rsidRDefault="00011D41" w:rsidP="00011D41">
      <w:pPr>
        <w:jc w:val="both"/>
        <w:rPr>
          <w:rFonts w:ascii="Calibri" w:hAnsi="Calibri"/>
          <w:color w:val="auto"/>
        </w:rPr>
      </w:pPr>
      <w:r w:rsidRPr="00F65CC7">
        <w:rPr>
          <w:rFonts w:ascii="Calibri" w:hAnsi="Calibri"/>
          <w:color w:val="auto"/>
        </w:rPr>
        <w:t>Varulagret är upptaget till det lägsta av anskaffningsvärdet och nettoförsäljningsvärdet. Därvid har</w:t>
      </w:r>
      <w:r w:rsidRPr="00F65CC7">
        <w:rPr>
          <w:rFonts w:ascii="Calibri" w:hAnsi="Calibri"/>
        </w:rPr>
        <w:t xml:space="preserve"> </w:t>
      </w:r>
      <w:r w:rsidRPr="00F65CC7">
        <w:rPr>
          <w:rFonts w:ascii="Calibri" w:hAnsi="Calibri"/>
          <w:color w:val="auto"/>
        </w:rPr>
        <w:t>inkuransrisk beaktats. Anskaffningsvärdet beräknas enligt först- in- först- ut- principen. I anskaffningsvärdet ingår förutom utgifter för inköp även utgifter för</w:t>
      </w:r>
      <w:r w:rsidRPr="00F65CC7">
        <w:rPr>
          <w:rFonts w:ascii="Calibri" w:hAnsi="Calibri"/>
        </w:rPr>
        <w:t xml:space="preserve"> </w:t>
      </w:r>
      <w:r w:rsidRPr="00F65CC7">
        <w:rPr>
          <w:rFonts w:ascii="Calibri" w:hAnsi="Calibri"/>
          <w:color w:val="auto"/>
        </w:rPr>
        <w:t xml:space="preserve">att bringa varorna till deras aktuella plats och skick. </w:t>
      </w:r>
    </w:p>
    <w:p w14:paraId="1C8E38D4" w14:textId="77777777" w:rsidR="00011D41" w:rsidRPr="00F65CC7" w:rsidRDefault="00011D41" w:rsidP="00011D41">
      <w:pPr>
        <w:pStyle w:val="A59"/>
        <w:tabs>
          <w:tab w:val="left" w:pos="0"/>
        </w:tabs>
        <w:jc w:val="both"/>
        <w:rPr>
          <w:rFonts w:ascii="Calibri" w:hAnsi="Calibri"/>
        </w:rPr>
      </w:pPr>
    </w:p>
    <w:p w14:paraId="1726E998" w14:textId="77777777" w:rsidR="00011D41" w:rsidRPr="00F65CC7" w:rsidRDefault="00011D41" w:rsidP="00011D41">
      <w:pPr>
        <w:pStyle w:val="Rubrik3"/>
        <w:jc w:val="both"/>
        <w:rPr>
          <w:rFonts w:ascii="Calibri" w:hAnsi="Calibri"/>
          <w:sz w:val="22"/>
          <w:szCs w:val="22"/>
        </w:rPr>
      </w:pPr>
      <w:r>
        <w:rPr>
          <w:rFonts w:ascii="Calibri" w:hAnsi="Calibri"/>
          <w:sz w:val="22"/>
          <w:szCs w:val="22"/>
        </w:rPr>
        <w:t>Finansiella tillgånga</w:t>
      </w:r>
      <w:r w:rsidRPr="00F65CC7">
        <w:rPr>
          <w:rFonts w:ascii="Calibri" w:hAnsi="Calibri"/>
          <w:sz w:val="22"/>
          <w:szCs w:val="22"/>
        </w:rPr>
        <w:t>r och skulder</w:t>
      </w:r>
    </w:p>
    <w:p w14:paraId="4ADC381F" w14:textId="77777777" w:rsidR="00011D41" w:rsidRPr="00F65CC7" w:rsidRDefault="00011D41" w:rsidP="00011D41">
      <w:pPr>
        <w:pStyle w:val="A56"/>
        <w:rPr>
          <w:rFonts w:ascii="Calibri" w:hAnsi="Calibri"/>
        </w:rPr>
      </w:pPr>
      <w:r w:rsidRPr="00F65CC7">
        <w:rPr>
          <w:rFonts w:ascii="Calibri" w:hAnsi="Calibri"/>
        </w:rPr>
        <w:t>Finansiella tillgångar och skulder och finansiella instrument som redovisas i balansräkningen inkluderar likvida medel, värdepapper, fordringar, rörelseskulder och upplåning.</w:t>
      </w:r>
    </w:p>
    <w:p w14:paraId="7D61D72C" w14:textId="77777777" w:rsidR="00011D41" w:rsidRPr="00F65CC7" w:rsidRDefault="00011D41" w:rsidP="00011D41">
      <w:pPr>
        <w:pStyle w:val="A56"/>
        <w:rPr>
          <w:rFonts w:ascii="Calibri" w:hAnsi="Calibri"/>
        </w:rPr>
      </w:pPr>
    </w:p>
    <w:p w14:paraId="2D88B1FD" w14:textId="77777777" w:rsidR="00011D41" w:rsidRPr="00F65CC7" w:rsidRDefault="00011D41" w:rsidP="00011D41">
      <w:pPr>
        <w:widowControl/>
        <w:autoSpaceDE/>
        <w:autoSpaceDN/>
        <w:adjustRightInd/>
        <w:jc w:val="both"/>
        <w:rPr>
          <w:rFonts w:ascii="Calibri" w:hAnsi="Calibri"/>
          <w:b/>
          <w:i/>
          <w:iCs/>
          <w:color w:val="auto"/>
        </w:rPr>
      </w:pPr>
      <w:r w:rsidRPr="00F65CC7">
        <w:rPr>
          <w:rFonts w:ascii="Calibri" w:hAnsi="Calibri"/>
          <w:b/>
          <w:i/>
          <w:iCs/>
          <w:color w:val="auto"/>
        </w:rPr>
        <w:t xml:space="preserve">Redovisning i och borttagande från balansräkningen </w:t>
      </w:r>
    </w:p>
    <w:p w14:paraId="70210C40" w14:textId="77777777" w:rsidR="00011D41" w:rsidRPr="00F65CC7" w:rsidRDefault="00011D41" w:rsidP="00011D41">
      <w:pPr>
        <w:jc w:val="both"/>
        <w:rPr>
          <w:rFonts w:ascii="Calibri" w:hAnsi="Calibri"/>
          <w:color w:val="auto"/>
        </w:rPr>
      </w:pPr>
      <w:r w:rsidRPr="00F65CC7">
        <w:rPr>
          <w:rFonts w:ascii="Calibri" w:hAnsi="Calibri"/>
          <w:color w:val="auto"/>
        </w:rPr>
        <w:t xml:space="preserve">En finansiell tillgång eller finansiell skuld tas upp i balansräkningen när </w:t>
      </w:r>
      <w:r>
        <w:rPr>
          <w:rFonts w:ascii="Calibri" w:hAnsi="Calibri"/>
          <w:color w:val="auto"/>
        </w:rPr>
        <w:t>bolag</w:t>
      </w:r>
      <w:r w:rsidRPr="00F65CC7">
        <w:rPr>
          <w:rFonts w:ascii="Calibri" w:hAnsi="Calibri"/>
          <w:color w:val="auto"/>
        </w:rPr>
        <w:t>et blir part i</w:t>
      </w:r>
      <w:r w:rsidRPr="00F65CC7">
        <w:rPr>
          <w:rFonts w:ascii="Calibri" w:hAnsi="Calibri"/>
        </w:rPr>
        <w:t xml:space="preserve"> </w:t>
      </w:r>
      <w:r w:rsidRPr="00F65CC7">
        <w:rPr>
          <w:rFonts w:ascii="Calibri" w:hAnsi="Calibri"/>
          <w:color w:val="auto"/>
        </w:rPr>
        <w:t>instrumentets avtalsmässiga villkor. En finansiell tillgång tas bort från balansräkningen när den</w:t>
      </w:r>
      <w:r w:rsidRPr="00F65CC7">
        <w:rPr>
          <w:rFonts w:ascii="Calibri" w:hAnsi="Calibri"/>
        </w:rPr>
        <w:t xml:space="preserve"> </w:t>
      </w:r>
      <w:r w:rsidRPr="00F65CC7">
        <w:rPr>
          <w:rFonts w:ascii="Calibri" w:hAnsi="Calibri"/>
          <w:color w:val="auto"/>
        </w:rPr>
        <w:t>avtalsenliga rätten till kassaflödet från tillgången har upphört eller reglerats. Detsamma gäller när</w:t>
      </w:r>
      <w:r w:rsidRPr="00F65CC7">
        <w:rPr>
          <w:rFonts w:ascii="Calibri" w:hAnsi="Calibri"/>
        </w:rPr>
        <w:t xml:space="preserve"> </w:t>
      </w:r>
      <w:r w:rsidRPr="00F65CC7">
        <w:rPr>
          <w:rFonts w:ascii="Calibri" w:hAnsi="Calibri"/>
          <w:color w:val="auto"/>
        </w:rPr>
        <w:t xml:space="preserve">de </w:t>
      </w:r>
      <w:r w:rsidRPr="00F65CC7">
        <w:rPr>
          <w:rFonts w:ascii="Calibri" w:hAnsi="Calibri"/>
          <w:color w:val="auto"/>
        </w:rPr>
        <w:lastRenderedPageBreak/>
        <w:t>risker och fördelar som är förknippade med innehavet i allt väsentligt överförts till annan part</w:t>
      </w:r>
      <w:r w:rsidRPr="00F65CC7">
        <w:rPr>
          <w:rFonts w:ascii="Calibri" w:hAnsi="Calibri"/>
        </w:rPr>
        <w:t xml:space="preserve"> </w:t>
      </w:r>
      <w:r w:rsidRPr="00F65CC7">
        <w:rPr>
          <w:rFonts w:ascii="Calibri" w:hAnsi="Calibri"/>
          <w:color w:val="auto"/>
        </w:rPr>
        <w:t xml:space="preserve">och </w:t>
      </w:r>
      <w:r>
        <w:rPr>
          <w:rFonts w:ascii="Calibri" w:hAnsi="Calibri"/>
          <w:color w:val="auto"/>
        </w:rPr>
        <w:t>bolag</w:t>
      </w:r>
      <w:r w:rsidRPr="00F65CC7">
        <w:rPr>
          <w:rFonts w:ascii="Calibri" w:hAnsi="Calibri"/>
          <w:color w:val="auto"/>
        </w:rPr>
        <w:t>et inte längre har kontroll över den finansiella tillgången. En finansiell skuld tas bort</w:t>
      </w:r>
      <w:r w:rsidRPr="00F65CC7">
        <w:rPr>
          <w:rFonts w:ascii="Calibri" w:hAnsi="Calibri"/>
        </w:rPr>
        <w:t xml:space="preserve"> </w:t>
      </w:r>
      <w:r w:rsidRPr="00F65CC7">
        <w:rPr>
          <w:rFonts w:ascii="Calibri" w:hAnsi="Calibri"/>
          <w:color w:val="auto"/>
        </w:rPr>
        <w:t>från balansräkningen när den avtalade förpliktelsen fullgjorts eller upphört.   </w:t>
      </w:r>
    </w:p>
    <w:p w14:paraId="3EDFEF2F" w14:textId="77777777" w:rsidR="00011D41" w:rsidRPr="00F65CC7" w:rsidRDefault="00011D41" w:rsidP="00011D41">
      <w:pPr>
        <w:widowControl/>
        <w:autoSpaceDE/>
        <w:autoSpaceDN/>
        <w:adjustRightInd/>
        <w:jc w:val="both"/>
        <w:rPr>
          <w:rFonts w:ascii="Calibri" w:hAnsi="Calibri" w:cs="Arial"/>
          <w:b/>
          <w:i/>
          <w:iCs/>
          <w:color w:val="auto"/>
        </w:rPr>
      </w:pPr>
    </w:p>
    <w:p w14:paraId="2FE7A256" w14:textId="77777777" w:rsidR="00011D41" w:rsidRPr="00F65CC7" w:rsidRDefault="00011D41" w:rsidP="00011D41">
      <w:pPr>
        <w:widowControl/>
        <w:autoSpaceDE/>
        <w:autoSpaceDN/>
        <w:adjustRightInd/>
        <w:jc w:val="both"/>
        <w:rPr>
          <w:rFonts w:ascii="Calibri" w:hAnsi="Calibri"/>
          <w:b/>
          <w:i/>
          <w:iCs/>
          <w:color w:val="auto"/>
        </w:rPr>
      </w:pPr>
      <w:r w:rsidRPr="00F65CC7">
        <w:rPr>
          <w:rFonts w:ascii="Calibri" w:hAnsi="Calibri"/>
          <w:b/>
          <w:i/>
          <w:iCs/>
          <w:color w:val="auto"/>
        </w:rPr>
        <w:t xml:space="preserve">Värdering av finansiella tillgångar </w:t>
      </w:r>
    </w:p>
    <w:p w14:paraId="644B82EC" w14:textId="77777777" w:rsidR="00011D41" w:rsidRPr="00F65CC7" w:rsidRDefault="00011D41" w:rsidP="00011D41">
      <w:pPr>
        <w:jc w:val="both"/>
        <w:rPr>
          <w:rFonts w:ascii="Calibri" w:hAnsi="Calibri"/>
          <w:color w:val="auto"/>
        </w:rPr>
      </w:pPr>
      <w:r w:rsidRPr="00F65CC7">
        <w:rPr>
          <w:rFonts w:ascii="Calibri" w:hAnsi="Calibri"/>
          <w:color w:val="auto"/>
        </w:rPr>
        <w:t>Finansiella tillgångar värderas vid första redovisningstillfället till anskaffningsvärde, inklusive</w:t>
      </w:r>
      <w:r w:rsidRPr="00F65CC7">
        <w:rPr>
          <w:rFonts w:ascii="Calibri" w:hAnsi="Calibri"/>
        </w:rPr>
        <w:t xml:space="preserve"> </w:t>
      </w:r>
      <w:r w:rsidRPr="00F65CC7">
        <w:rPr>
          <w:rFonts w:ascii="Calibri" w:hAnsi="Calibri"/>
          <w:color w:val="auto"/>
        </w:rPr>
        <w:t xml:space="preserve">eventuella transaktionsutgifter som är direkt hänförliga till förvärvet av tillgången.   </w:t>
      </w:r>
    </w:p>
    <w:p w14:paraId="3FEA9517" w14:textId="77777777" w:rsidR="00011D41" w:rsidRPr="00F65CC7" w:rsidRDefault="00011D41" w:rsidP="00011D41">
      <w:pPr>
        <w:widowControl/>
        <w:autoSpaceDE/>
        <w:autoSpaceDN/>
        <w:adjustRightInd/>
        <w:jc w:val="both"/>
        <w:rPr>
          <w:rFonts w:ascii="Calibri" w:hAnsi="Calibri"/>
          <w:color w:val="auto"/>
        </w:rPr>
      </w:pPr>
    </w:p>
    <w:p w14:paraId="256668C7" w14:textId="77777777" w:rsidR="00011D41" w:rsidRPr="00F65CC7" w:rsidRDefault="00011D41" w:rsidP="00011D41">
      <w:pPr>
        <w:jc w:val="both"/>
        <w:rPr>
          <w:rFonts w:ascii="Calibri" w:hAnsi="Calibri"/>
          <w:color w:val="auto"/>
        </w:rPr>
      </w:pPr>
      <w:r w:rsidRPr="00F65CC7">
        <w:rPr>
          <w:rFonts w:ascii="Calibri" w:hAnsi="Calibri"/>
          <w:color w:val="auto"/>
        </w:rPr>
        <w:t>Finansiella omsättningstillgångar värderas efter första redovisningstillfället till det lägsta av</w:t>
      </w:r>
      <w:r w:rsidRPr="00F65CC7">
        <w:rPr>
          <w:rFonts w:ascii="Calibri" w:hAnsi="Calibri"/>
        </w:rPr>
        <w:t xml:space="preserve"> </w:t>
      </w:r>
      <w:r w:rsidRPr="00F65CC7">
        <w:rPr>
          <w:rFonts w:ascii="Calibri" w:hAnsi="Calibri"/>
          <w:color w:val="auto"/>
        </w:rPr>
        <w:t xml:space="preserve">anskaffningsvärdet och nettoförsäljningsvärdet på balansdagen.   </w:t>
      </w:r>
    </w:p>
    <w:p w14:paraId="64CE5077" w14:textId="77777777" w:rsidR="00011D41" w:rsidRPr="00F65CC7" w:rsidRDefault="00011D41" w:rsidP="00011D41">
      <w:pPr>
        <w:widowControl/>
        <w:autoSpaceDE/>
        <w:autoSpaceDN/>
        <w:adjustRightInd/>
        <w:jc w:val="both"/>
        <w:rPr>
          <w:rFonts w:ascii="Calibri" w:hAnsi="Calibri"/>
          <w:color w:val="auto"/>
        </w:rPr>
      </w:pPr>
    </w:p>
    <w:p w14:paraId="59F1CB95" w14:textId="77777777" w:rsidR="00011D41" w:rsidRPr="00F65CC7" w:rsidRDefault="00011D41" w:rsidP="00011D41">
      <w:pPr>
        <w:jc w:val="both"/>
        <w:rPr>
          <w:rFonts w:ascii="Calibri" w:hAnsi="Calibri"/>
          <w:color w:val="auto"/>
        </w:rPr>
      </w:pPr>
      <w:r w:rsidRPr="00F65CC7">
        <w:rPr>
          <w:rFonts w:ascii="Calibri" w:hAnsi="Calibri"/>
          <w:color w:val="auto"/>
        </w:rPr>
        <w:t>Finansiella anläggningstillgångar värderas efter första redovisningstillfället till anskaffningsvärde</w:t>
      </w:r>
      <w:r w:rsidRPr="00F65CC7">
        <w:rPr>
          <w:rFonts w:ascii="Calibri" w:hAnsi="Calibri"/>
        </w:rPr>
        <w:t xml:space="preserve"> </w:t>
      </w:r>
      <w:r w:rsidRPr="00F65CC7">
        <w:rPr>
          <w:rFonts w:ascii="Calibri" w:hAnsi="Calibri"/>
          <w:color w:val="auto"/>
        </w:rPr>
        <w:t>med avdrag för eventuella nedskrivningar och med tillägg för eventuella uppskrivningar.  </w:t>
      </w:r>
    </w:p>
    <w:p w14:paraId="2C1BF19D" w14:textId="77777777" w:rsidR="00011D41" w:rsidRPr="00F65CC7" w:rsidRDefault="00011D41" w:rsidP="00011D41">
      <w:pPr>
        <w:widowControl/>
        <w:autoSpaceDE/>
        <w:autoSpaceDN/>
        <w:adjustRightInd/>
        <w:jc w:val="both"/>
        <w:rPr>
          <w:rFonts w:ascii="Calibri" w:hAnsi="Calibri"/>
          <w:color w:val="auto"/>
        </w:rPr>
      </w:pPr>
    </w:p>
    <w:p w14:paraId="4710EFBF" w14:textId="77777777" w:rsidR="00011D41" w:rsidRPr="00F65CC7" w:rsidRDefault="00011D41" w:rsidP="00011D41">
      <w:pPr>
        <w:jc w:val="both"/>
        <w:rPr>
          <w:rFonts w:ascii="Calibri" w:hAnsi="Calibri"/>
          <w:color w:val="auto"/>
        </w:rPr>
      </w:pPr>
      <w:r w:rsidRPr="00F65CC7">
        <w:rPr>
          <w:rFonts w:ascii="Calibri" w:hAnsi="Calibri"/>
          <w:color w:val="auto"/>
        </w:rPr>
        <w:t>Andelar i dotter</w:t>
      </w:r>
      <w:r>
        <w:rPr>
          <w:rFonts w:ascii="Calibri" w:hAnsi="Calibri"/>
          <w:color w:val="auto"/>
        </w:rPr>
        <w:t>bolag</w:t>
      </w:r>
      <w:r w:rsidRPr="00F65CC7">
        <w:rPr>
          <w:rFonts w:ascii="Calibri" w:hAnsi="Calibri"/>
          <w:color w:val="auto"/>
        </w:rPr>
        <w:t>, intresse</w:t>
      </w:r>
      <w:r>
        <w:rPr>
          <w:rFonts w:ascii="Calibri" w:hAnsi="Calibri"/>
          <w:color w:val="auto"/>
        </w:rPr>
        <w:t>bolag</w:t>
      </w:r>
      <w:r w:rsidRPr="00F65CC7">
        <w:rPr>
          <w:rFonts w:ascii="Calibri" w:hAnsi="Calibri"/>
          <w:color w:val="auto"/>
        </w:rPr>
        <w:t xml:space="preserve"> och gemensamt styrda </w:t>
      </w:r>
      <w:r>
        <w:rPr>
          <w:rFonts w:ascii="Calibri" w:hAnsi="Calibri"/>
          <w:color w:val="auto"/>
        </w:rPr>
        <w:t>bolag</w:t>
      </w:r>
      <w:r w:rsidRPr="00F65CC7">
        <w:rPr>
          <w:rFonts w:ascii="Calibri" w:hAnsi="Calibri"/>
          <w:color w:val="auto"/>
        </w:rPr>
        <w:t xml:space="preserve"> redovisas till anskaffningsvärde minskat med ackumulerade nedskrivningar. </w:t>
      </w:r>
    </w:p>
    <w:p w14:paraId="6FCA58D0" w14:textId="77777777" w:rsidR="00011D41" w:rsidRPr="00F65CC7" w:rsidRDefault="00011D41" w:rsidP="00011D41">
      <w:pPr>
        <w:jc w:val="both"/>
        <w:rPr>
          <w:rFonts w:ascii="Calibri" w:hAnsi="Calibri"/>
          <w:color w:val="auto"/>
        </w:rPr>
      </w:pPr>
    </w:p>
    <w:p w14:paraId="40BE0904" w14:textId="77777777" w:rsidR="00011D41" w:rsidRPr="00F65CC7" w:rsidRDefault="00011D41" w:rsidP="00011D41">
      <w:pPr>
        <w:jc w:val="both"/>
        <w:rPr>
          <w:rFonts w:ascii="Calibri" w:hAnsi="Calibri"/>
          <w:color w:val="auto"/>
        </w:rPr>
      </w:pPr>
      <w:r w:rsidRPr="00F65CC7">
        <w:rPr>
          <w:rFonts w:ascii="Calibri" w:hAnsi="Calibri"/>
          <w:color w:val="auto"/>
        </w:rPr>
        <w:t>Derivatinstrument som utgör finansiella tillgångar och för vilka säkringsredovisning inte har</w:t>
      </w:r>
      <w:r w:rsidRPr="00F65CC7">
        <w:rPr>
          <w:rFonts w:ascii="Calibri" w:hAnsi="Calibri"/>
        </w:rPr>
        <w:t xml:space="preserve"> </w:t>
      </w:r>
      <w:r w:rsidRPr="00F65CC7">
        <w:rPr>
          <w:rFonts w:ascii="Calibri" w:hAnsi="Calibri"/>
          <w:color w:val="auto"/>
        </w:rPr>
        <w:t>tillämpats värderas efter det första redovisningstillfället till det lägsta av anskaffningsvärdet och nettoförsäljningsvärdet på balansdagen.   </w:t>
      </w:r>
    </w:p>
    <w:p w14:paraId="556CB631" w14:textId="77777777" w:rsidR="00011D41" w:rsidRPr="00F65CC7" w:rsidRDefault="00011D41" w:rsidP="00011D41">
      <w:pPr>
        <w:jc w:val="both"/>
        <w:rPr>
          <w:rFonts w:ascii="Calibri" w:hAnsi="Calibri" w:cs="Arial"/>
          <w:color w:val="auto"/>
        </w:rPr>
      </w:pPr>
    </w:p>
    <w:p w14:paraId="46966A8A" w14:textId="77777777" w:rsidR="00011D41" w:rsidRPr="00F65CC7" w:rsidRDefault="00011D41" w:rsidP="00011D41">
      <w:pPr>
        <w:widowControl/>
        <w:autoSpaceDE/>
        <w:autoSpaceDN/>
        <w:adjustRightInd/>
        <w:jc w:val="both"/>
        <w:rPr>
          <w:rFonts w:ascii="Calibri" w:hAnsi="Calibri"/>
          <w:b/>
          <w:bCs/>
          <w:i/>
          <w:color w:val="auto"/>
        </w:rPr>
      </w:pPr>
      <w:r w:rsidRPr="00F65CC7">
        <w:rPr>
          <w:rFonts w:ascii="Calibri" w:hAnsi="Calibri"/>
          <w:b/>
          <w:bCs/>
          <w:i/>
          <w:color w:val="auto"/>
        </w:rPr>
        <w:t>Energiderivat</w:t>
      </w:r>
    </w:p>
    <w:p w14:paraId="138209D3" w14:textId="77777777" w:rsidR="00011D41" w:rsidRPr="00F65CC7" w:rsidRDefault="00011D41" w:rsidP="00011D41">
      <w:pPr>
        <w:widowControl/>
        <w:autoSpaceDE/>
        <w:autoSpaceDN/>
        <w:adjustRightInd/>
        <w:jc w:val="both"/>
        <w:rPr>
          <w:rFonts w:ascii="Calibri" w:hAnsi="Calibri"/>
          <w:color w:val="auto"/>
        </w:rPr>
      </w:pPr>
      <w:r w:rsidRPr="00F65CC7">
        <w:rPr>
          <w:rFonts w:ascii="Calibri" w:hAnsi="Calibri"/>
          <w:color w:val="auto"/>
        </w:rPr>
        <w:t>Alla köp av energiderivat som görs i prissäkringssyfte, antingen för produktion eller för försäljning till slutkund redovisas</w:t>
      </w:r>
      <w:r>
        <w:rPr>
          <w:rFonts w:ascii="Calibri" w:hAnsi="Calibri"/>
          <w:color w:val="auto"/>
        </w:rPr>
        <w:t xml:space="preserve"> </w:t>
      </w:r>
      <w:r w:rsidRPr="00F65CC7">
        <w:rPr>
          <w:rFonts w:ascii="Calibri" w:hAnsi="Calibri"/>
          <w:color w:val="auto"/>
        </w:rPr>
        <w:t>i</w:t>
      </w:r>
      <w:r>
        <w:rPr>
          <w:rFonts w:ascii="Calibri" w:hAnsi="Calibri"/>
          <w:color w:val="auto"/>
        </w:rPr>
        <w:t xml:space="preserve"> </w:t>
      </w:r>
      <w:r w:rsidRPr="00F65CC7">
        <w:rPr>
          <w:rFonts w:ascii="Calibri" w:hAnsi="Calibri"/>
          <w:color w:val="auto"/>
        </w:rPr>
        <w:t>samband</w:t>
      </w:r>
      <w:r>
        <w:rPr>
          <w:rFonts w:ascii="Calibri" w:hAnsi="Calibri"/>
          <w:color w:val="auto"/>
        </w:rPr>
        <w:t xml:space="preserve"> med </w:t>
      </w:r>
      <w:r w:rsidRPr="00F65CC7">
        <w:rPr>
          <w:rFonts w:ascii="Calibri" w:hAnsi="Calibri"/>
          <w:color w:val="auto"/>
        </w:rPr>
        <w:t>att</w:t>
      </w:r>
      <w:r>
        <w:rPr>
          <w:rFonts w:ascii="Calibri" w:hAnsi="Calibri"/>
          <w:color w:val="auto"/>
        </w:rPr>
        <w:t xml:space="preserve"> </w:t>
      </w:r>
      <w:r w:rsidRPr="00F65CC7">
        <w:rPr>
          <w:rFonts w:ascii="Calibri" w:hAnsi="Calibri"/>
          <w:color w:val="auto"/>
        </w:rPr>
        <w:t>kont</w:t>
      </w:r>
      <w:r>
        <w:rPr>
          <w:rFonts w:ascii="Calibri" w:hAnsi="Calibri"/>
          <w:color w:val="auto"/>
        </w:rPr>
        <w:t>r</w:t>
      </w:r>
      <w:r w:rsidRPr="00F65CC7">
        <w:rPr>
          <w:rFonts w:ascii="Calibri" w:hAnsi="Calibri"/>
          <w:color w:val="auto"/>
        </w:rPr>
        <w:t>aktet</w:t>
      </w:r>
      <w:r>
        <w:rPr>
          <w:rFonts w:ascii="Calibri" w:hAnsi="Calibri"/>
          <w:color w:val="auto"/>
        </w:rPr>
        <w:t xml:space="preserve"> </w:t>
      </w:r>
      <w:r w:rsidRPr="00F65CC7">
        <w:rPr>
          <w:rFonts w:ascii="Calibri" w:hAnsi="Calibri"/>
          <w:color w:val="auto"/>
        </w:rPr>
        <w:t>går</w:t>
      </w:r>
      <w:r>
        <w:rPr>
          <w:rFonts w:ascii="Calibri" w:hAnsi="Calibri"/>
          <w:color w:val="auto"/>
        </w:rPr>
        <w:t xml:space="preserve"> </w:t>
      </w:r>
      <w:r w:rsidRPr="00F65CC7">
        <w:rPr>
          <w:rFonts w:ascii="Calibri" w:hAnsi="Calibri"/>
          <w:color w:val="auto"/>
        </w:rPr>
        <w:t>i</w:t>
      </w:r>
      <w:r>
        <w:rPr>
          <w:rFonts w:ascii="Calibri" w:hAnsi="Calibri"/>
          <w:color w:val="auto"/>
        </w:rPr>
        <w:t xml:space="preserve"> </w:t>
      </w:r>
      <w:r w:rsidRPr="00F65CC7">
        <w:rPr>
          <w:rFonts w:ascii="Calibri" w:hAnsi="Calibri"/>
          <w:color w:val="auto"/>
        </w:rPr>
        <w:t>leverans</w:t>
      </w:r>
      <w:r>
        <w:rPr>
          <w:rFonts w:ascii="Calibri" w:hAnsi="Calibri"/>
          <w:color w:val="auto"/>
        </w:rPr>
        <w:t xml:space="preserve"> </w:t>
      </w:r>
      <w:r w:rsidRPr="00F65CC7">
        <w:rPr>
          <w:rFonts w:ascii="Calibri" w:hAnsi="Calibri"/>
          <w:color w:val="auto"/>
        </w:rPr>
        <w:t>och</w:t>
      </w:r>
      <w:r>
        <w:rPr>
          <w:rFonts w:ascii="Calibri" w:hAnsi="Calibri"/>
          <w:color w:val="auto"/>
        </w:rPr>
        <w:t xml:space="preserve"> påverkar därmed </w:t>
      </w:r>
      <w:r w:rsidRPr="00F65CC7">
        <w:rPr>
          <w:rFonts w:ascii="Calibri" w:hAnsi="Calibri"/>
          <w:color w:val="auto"/>
        </w:rPr>
        <w:t>e</w:t>
      </w:r>
      <w:r>
        <w:rPr>
          <w:rFonts w:ascii="Calibri" w:hAnsi="Calibri"/>
          <w:color w:val="auto"/>
        </w:rPr>
        <w:t xml:space="preserve">nbart inköpspriset på den </w:t>
      </w:r>
      <w:proofErr w:type="gramStart"/>
      <w:r>
        <w:rPr>
          <w:rFonts w:ascii="Calibri" w:hAnsi="Calibri"/>
          <w:color w:val="auto"/>
        </w:rPr>
        <w:t xml:space="preserve">volym </w:t>
      </w:r>
      <w:r w:rsidRPr="00F65CC7">
        <w:rPr>
          <w:rFonts w:ascii="Calibri" w:hAnsi="Calibri"/>
          <w:color w:val="auto"/>
        </w:rPr>
        <w:t>energi</w:t>
      </w:r>
      <w:proofErr w:type="gramEnd"/>
      <w:r w:rsidRPr="00F65CC7">
        <w:rPr>
          <w:rFonts w:ascii="Calibri" w:hAnsi="Calibri"/>
          <w:color w:val="auto"/>
        </w:rPr>
        <w:t xml:space="preserve"> som säkrats. Dessa energiderivat utgör således inte finansiella instrument.</w:t>
      </w:r>
    </w:p>
    <w:p w14:paraId="7EBFA762" w14:textId="77777777" w:rsidR="00011D41" w:rsidRPr="00F65CC7" w:rsidRDefault="00011D41" w:rsidP="00011D41">
      <w:pPr>
        <w:pStyle w:val="A59"/>
        <w:tabs>
          <w:tab w:val="left" w:pos="0"/>
        </w:tabs>
        <w:jc w:val="both"/>
        <w:rPr>
          <w:rFonts w:ascii="Calibri" w:hAnsi="Calibri"/>
        </w:rPr>
      </w:pPr>
    </w:p>
    <w:p w14:paraId="19856299" w14:textId="77777777" w:rsidR="00011D41" w:rsidRPr="00F65CC7" w:rsidRDefault="00011D41" w:rsidP="00011D41">
      <w:pPr>
        <w:widowControl/>
        <w:autoSpaceDE/>
        <w:autoSpaceDN/>
        <w:adjustRightInd/>
        <w:jc w:val="both"/>
        <w:rPr>
          <w:rFonts w:ascii="Calibri" w:hAnsi="Calibri"/>
          <w:b/>
          <w:bCs/>
          <w:i/>
          <w:color w:val="auto"/>
        </w:rPr>
      </w:pPr>
      <w:r w:rsidRPr="00F65CC7">
        <w:rPr>
          <w:rFonts w:ascii="Calibri" w:hAnsi="Calibri"/>
          <w:b/>
          <w:bCs/>
          <w:i/>
          <w:color w:val="auto"/>
        </w:rPr>
        <w:t>Säkringsredovisning</w:t>
      </w:r>
    </w:p>
    <w:p w14:paraId="2D245522" w14:textId="77777777" w:rsidR="00011D41" w:rsidRPr="00F65CC7" w:rsidRDefault="00011D41" w:rsidP="00011D41">
      <w:pPr>
        <w:widowControl/>
        <w:autoSpaceDE/>
        <w:autoSpaceDN/>
        <w:adjustRightInd/>
        <w:jc w:val="both"/>
        <w:rPr>
          <w:rFonts w:ascii="Calibri" w:hAnsi="Calibri"/>
          <w:color w:val="auto"/>
        </w:rPr>
      </w:pPr>
      <w:r w:rsidRPr="00F65CC7">
        <w:rPr>
          <w:rFonts w:ascii="Calibri" w:hAnsi="Calibri"/>
          <w:color w:val="auto"/>
        </w:rPr>
        <w:t>Säkringsredovisning tillämpas för derivatinstrument som ingår i ett dokumenterat säkringssamband. För att säkringsredovisning ska kunna tillämpas krävs att det finns en entydig koppling mellan säkringsinstrumentet och den säkrade posten. Det krävs också att säkringen effektivt skyddar den risk som är avsedd att säkras, att effektiviteten löpande kan visas vara tillräckligt hög genom effektivitetsmätningar och att säkringsdokumentation har upprättats. Bedömningen om huruvida säkringsredovisning ska tillämpas görs vid ingången av säkringsrelationen. Redovisning av värdeförändringen beror på vilken typ av säkring som ingåtts.</w:t>
      </w:r>
    </w:p>
    <w:p w14:paraId="65E2D31D" w14:textId="77777777" w:rsidR="00011D41" w:rsidRPr="00F65CC7" w:rsidRDefault="00011D41" w:rsidP="00011D41">
      <w:pPr>
        <w:pStyle w:val="A59"/>
        <w:tabs>
          <w:tab w:val="left" w:pos="0"/>
        </w:tabs>
        <w:jc w:val="both"/>
        <w:rPr>
          <w:rFonts w:ascii="Calibri" w:hAnsi="Calibri"/>
        </w:rPr>
      </w:pPr>
    </w:p>
    <w:p w14:paraId="49C9F09A" w14:textId="77777777" w:rsidR="00011D41" w:rsidRPr="00F65CC7" w:rsidRDefault="00011D41" w:rsidP="00011D41">
      <w:pPr>
        <w:pStyle w:val="Ingetavstnd"/>
        <w:rPr>
          <w:b/>
        </w:rPr>
      </w:pPr>
      <w:r w:rsidRPr="00F65CC7">
        <w:rPr>
          <w:b/>
        </w:rPr>
        <w:t>Nedskrivningar – materiella, immateriella och finansiella anläggningstillgångar samt andelar i konce</w:t>
      </w:r>
      <w:r w:rsidRPr="00352748">
        <w:rPr>
          <w:b/>
        </w:rPr>
        <w:t>rn</w:t>
      </w:r>
      <w:r>
        <w:rPr>
          <w:b/>
        </w:rPr>
        <w:t>bolag</w:t>
      </w:r>
    </w:p>
    <w:p w14:paraId="63202174" w14:textId="77777777" w:rsidR="00011D41" w:rsidRPr="00F65CC7" w:rsidRDefault="00011D41" w:rsidP="00011D41">
      <w:pPr>
        <w:widowControl/>
        <w:autoSpaceDE/>
        <w:autoSpaceDN/>
        <w:adjustRightInd/>
        <w:jc w:val="both"/>
        <w:rPr>
          <w:rFonts w:ascii="Calibri" w:hAnsi="Calibri"/>
          <w:color w:val="auto"/>
        </w:rPr>
      </w:pPr>
      <w:r w:rsidRPr="00F65CC7">
        <w:rPr>
          <w:rFonts w:ascii="Calibri" w:hAnsi="Calibri"/>
          <w:color w:val="auto"/>
        </w:rPr>
        <w:t xml:space="preserve">Vid varje balansdag bedöms om det finns någon indikation på att en </w:t>
      </w:r>
      <w:proofErr w:type="gramStart"/>
      <w:r w:rsidRPr="00F65CC7">
        <w:rPr>
          <w:rFonts w:ascii="Calibri" w:hAnsi="Calibri"/>
          <w:color w:val="auto"/>
        </w:rPr>
        <w:t>tillgångs värde</w:t>
      </w:r>
      <w:proofErr w:type="gramEnd"/>
      <w:r w:rsidRPr="00F65CC7">
        <w:rPr>
          <w:rFonts w:ascii="Calibri" w:hAnsi="Calibri"/>
          <w:color w:val="auto"/>
        </w:rPr>
        <w:t xml:space="preserve"> är lägre än dess redovisade värde. Om en sådan indikation finns, beräknas tillgångens återvinningsvärde.</w:t>
      </w:r>
    </w:p>
    <w:p w14:paraId="62B0535A" w14:textId="77777777" w:rsidR="00011D41" w:rsidRPr="00F65CC7" w:rsidRDefault="00011D41" w:rsidP="00011D41">
      <w:pPr>
        <w:pStyle w:val="Ingetavstnd"/>
      </w:pPr>
    </w:p>
    <w:p w14:paraId="217A9956" w14:textId="77777777" w:rsidR="00011D41" w:rsidRDefault="00011D41" w:rsidP="00011D41">
      <w:pPr>
        <w:widowControl/>
        <w:autoSpaceDE/>
        <w:autoSpaceDN/>
        <w:adjustRightInd/>
        <w:jc w:val="both"/>
        <w:rPr>
          <w:rFonts w:ascii="Calibri" w:hAnsi="Calibri"/>
          <w:color w:val="auto"/>
        </w:rPr>
      </w:pPr>
      <w:r w:rsidRPr="00F65CC7">
        <w:rPr>
          <w:rFonts w:ascii="Calibri" w:hAnsi="Calibri"/>
          <w:color w:val="auto"/>
        </w:rPr>
        <w:t xml:space="preserve">Återvinningsvärdet är det högsta av verkligt värde med avdrag för försäljningskostnader och nyttjandevärde. Vid beräkning av nyttjandevärdet beräknas nuvärdet av de framtida kassaflöden som tillgången väntas ge upphov till i den löpande verksamheten samt när den avyttras eller utrangeras. Den diskonteringsränta som används är före skatt och återspeglar marknadsmässiga bedömningar av pengars tidsvärde och de risker som avser tillgången. </w:t>
      </w:r>
    </w:p>
    <w:p w14:paraId="77593275" w14:textId="77777777" w:rsidR="00011D41" w:rsidRDefault="00011D41" w:rsidP="00011D41">
      <w:pPr>
        <w:widowControl/>
        <w:autoSpaceDE/>
        <w:autoSpaceDN/>
        <w:adjustRightInd/>
        <w:jc w:val="both"/>
        <w:rPr>
          <w:rFonts w:ascii="Calibri" w:hAnsi="Calibri"/>
          <w:color w:val="auto"/>
        </w:rPr>
      </w:pPr>
    </w:p>
    <w:p w14:paraId="33F1B7E1" w14:textId="77777777" w:rsidR="00011D41" w:rsidRPr="008E58B8" w:rsidRDefault="00011D41" w:rsidP="00011D41">
      <w:pPr>
        <w:pStyle w:val="A45"/>
        <w:rPr>
          <w:color w:val="4472C4"/>
        </w:rPr>
      </w:pPr>
      <w:r w:rsidRPr="00231663">
        <w:rPr>
          <w:rFonts w:cs="Times New Roman"/>
          <w:color w:val="auto"/>
        </w:rPr>
        <w:t>Nedskrivningsprövning görs för varje enskild tillgång med ett oberoende flöde av inbetalningar. Vid behov behöver tillgångarna grupperas ihop till kassagenererande enheter för att identifiera inbetalningar. Nedskrivningsprövning görs i dessa fall för hela den kassagenererande enheten</w:t>
      </w:r>
      <w:r w:rsidRPr="008E58B8">
        <w:rPr>
          <w:color w:val="4472C4"/>
        </w:rPr>
        <w:t>.</w:t>
      </w:r>
    </w:p>
    <w:p w14:paraId="5B27F280" w14:textId="77777777" w:rsidR="00011D41" w:rsidRDefault="00011D41" w:rsidP="00011D41">
      <w:pPr>
        <w:widowControl/>
        <w:autoSpaceDE/>
        <w:autoSpaceDN/>
        <w:adjustRightInd/>
        <w:jc w:val="both"/>
        <w:rPr>
          <w:color w:val="auto"/>
        </w:rPr>
      </w:pPr>
    </w:p>
    <w:p w14:paraId="268F0872" w14:textId="77777777" w:rsidR="00011D41" w:rsidRPr="00F65CC7" w:rsidRDefault="00011D41" w:rsidP="00011D41">
      <w:pPr>
        <w:widowControl/>
        <w:autoSpaceDE/>
        <w:autoSpaceDN/>
        <w:adjustRightInd/>
        <w:jc w:val="both"/>
        <w:rPr>
          <w:rFonts w:ascii="Calibri" w:hAnsi="Calibri"/>
          <w:color w:val="auto"/>
        </w:rPr>
      </w:pPr>
      <w:r w:rsidRPr="00F65CC7">
        <w:rPr>
          <w:rFonts w:ascii="Calibri" w:hAnsi="Calibri"/>
          <w:color w:val="auto"/>
        </w:rPr>
        <w:lastRenderedPageBreak/>
        <w:t>En tidigare nedskrivning återförs endast om de skäl som låg till grund för beräkningen av återvinningsvärdet vid den senaste nedskrivningen har förändrats.</w:t>
      </w:r>
    </w:p>
    <w:p w14:paraId="5843BF20" w14:textId="77777777" w:rsidR="00011D41" w:rsidRPr="00F65CC7" w:rsidRDefault="00011D41" w:rsidP="00011D41">
      <w:pPr>
        <w:pStyle w:val="A59"/>
        <w:tabs>
          <w:tab w:val="left" w:pos="0"/>
        </w:tabs>
        <w:jc w:val="both"/>
        <w:rPr>
          <w:rFonts w:ascii="Calibri" w:hAnsi="Calibri"/>
        </w:rPr>
      </w:pPr>
    </w:p>
    <w:p w14:paraId="3A0813EE" w14:textId="77777777" w:rsidR="00011D41" w:rsidRPr="00F65CC7" w:rsidRDefault="00011D41" w:rsidP="00011D41">
      <w:pPr>
        <w:pStyle w:val="Rubrik3"/>
        <w:jc w:val="both"/>
        <w:rPr>
          <w:rFonts w:ascii="Calibri" w:hAnsi="Calibri"/>
          <w:sz w:val="22"/>
          <w:szCs w:val="22"/>
        </w:rPr>
      </w:pPr>
      <w:r w:rsidRPr="00F65CC7">
        <w:rPr>
          <w:rFonts w:ascii="Calibri" w:hAnsi="Calibri"/>
          <w:sz w:val="22"/>
          <w:szCs w:val="22"/>
        </w:rPr>
        <w:t>Ersättningar till anställda</w:t>
      </w:r>
    </w:p>
    <w:p w14:paraId="62F15B1D" w14:textId="77777777" w:rsidR="00011D41" w:rsidRPr="00231663" w:rsidRDefault="00011D41" w:rsidP="00011D41">
      <w:pPr>
        <w:widowControl/>
        <w:autoSpaceDE/>
        <w:autoSpaceDN/>
        <w:adjustRightInd/>
        <w:jc w:val="both"/>
        <w:rPr>
          <w:rFonts w:ascii="Calibri" w:hAnsi="Calibri"/>
          <w:color w:val="auto"/>
        </w:rPr>
      </w:pPr>
      <w:r w:rsidRPr="00231663">
        <w:rPr>
          <w:rFonts w:ascii="Calibri" w:hAnsi="Calibri"/>
          <w:color w:val="auto"/>
        </w:rPr>
        <w:t xml:space="preserve">Kortfristiga ersättningar såsom löner, sociala avgifter, semester, bilersättningar och liknande är ersättningar </w:t>
      </w:r>
      <w:proofErr w:type="spellStart"/>
      <w:r w:rsidRPr="00231663">
        <w:rPr>
          <w:rFonts w:ascii="Calibri" w:hAnsi="Calibri"/>
          <w:color w:val="auto"/>
        </w:rPr>
        <w:t>kostnadsförs</w:t>
      </w:r>
      <w:proofErr w:type="spellEnd"/>
      <w:r w:rsidRPr="00231663">
        <w:rPr>
          <w:rFonts w:ascii="Calibri" w:hAnsi="Calibri"/>
          <w:color w:val="auto"/>
        </w:rPr>
        <w:t xml:space="preserve"> löpande det år som den anställde tjänar in ersättningen om inte utgiften inkluderats i anskaffningsvärdet för en anläggningstillgång.  </w:t>
      </w:r>
    </w:p>
    <w:p w14:paraId="60415694" w14:textId="77777777" w:rsidR="00011D41" w:rsidRPr="00231663" w:rsidRDefault="00011D41" w:rsidP="00011D41">
      <w:pPr>
        <w:widowControl/>
        <w:autoSpaceDE/>
        <w:autoSpaceDN/>
        <w:adjustRightInd/>
        <w:jc w:val="both"/>
        <w:rPr>
          <w:rFonts w:ascii="Calibri" w:hAnsi="Calibri"/>
          <w:color w:val="auto"/>
        </w:rPr>
      </w:pPr>
    </w:p>
    <w:p w14:paraId="45A34CF3" w14:textId="77777777" w:rsidR="00011D41" w:rsidRPr="00231663" w:rsidRDefault="00011D41" w:rsidP="00011D41">
      <w:pPr>
        <w:widowControl/>
        <w:autoSpaceDE/>
        <w:autoSpaceDN/>
        <w:adjustRightInd/>
        <w:jc w:val="both"/>
        <w:rPr>
          <w:rFonts w:ascii="Calibri" w:hAnsi="Calibri"/>
          <w:color w:val="auto"/>
        </w:rPr>
      </w:pPr>
      <w:r w:rsidRPr="00231663">
        <w:rPr>
          <w:rFonts w:ascii="Calibri" w:hAnsi="Calibri"/>
          <w:color w:val="auto"/>
        </w:rPr>
        <w:t>Planer för ersättningar efter avslutad anställning klassificeras som antingen avgiftsbestämda eller förmånsbestämda. Inom koncernen finns såväl avgiftsbestämda som förmånsbestämda pensionsplaner. Vid avgiftsbestämda pensionsplaner betalas fastställda avgifter till en separat juridisk enhet och bolaget har inte längre någon förpliktelse till den anställde när avgiften är betald. Storleken på den anställdes ersättningar efter avslutad anställning är beroende av de avgifter som betalats och den kapitalavkastning som avgifterna ger. Avgifterna för avgiftsbestämda planer redovisas som kostnad i takt med att de intjänas.</w:t>
      </w:r>
    </w:p>
    <w:p w14:paraId="24CBD04F" w14:textId="77777777" w:rsidR="00011D41" w:rsidRPr="00231663" w:rsidRDefault="00011D41" w:rsidP="00011D41">
      <w:pPr>
        <w:widowControl/>
        <w:autoSpaceDE/>
        <w:autoSpaceDN/>
        <w:adjustRightInd/>
        <w:jc w:val="both"/>
        <w:rPr>
          <w:rFonts w:ascii="Calibri" w:hAnsi="Calibri"/>
          <w:color w:val="auto"/>
        </w:rPr>
      </w:pPr>
    </w:p>
    <w:p w14:paraId="3A032BDC" w14:textId="77777777" w:rsidR="00011D41" w:rsidRPr="00231663" w:rsidRDefault="00011D41" w:rsidP="00011D41">
      <w:pPr>
        <w:widowControl/>
        <w:autoSpaceDE/>
        <w:autoSpaceDN/>
        <w:adjustRightInd/>
        <w:jc w:val="both"/>
        <w:rPr>
          <w:rFonts w:ascii="Calibri" w:hAnsi="Calibri"/>
          <w:color w:val="auto"/>
        </w:rPr>
      </w:pPr>
      <w:r w:rsidRPr="00231663">
        <w:rPr>
          <w:rFonts w:ascii="Calibri" w:hAnsi="Calibri"/>
          <w:color w:val="auto"/>
        </w:rPr>
        <w:t xml:space="preserve">Inom koncernen finns även förmånsbestämda pensionsplaner som finansieras i egen regi. Uppgift om pensionsskuldens storlek erhålls från ett oberoende företag och redovisas enligt den erhållna uppgiften. Ersättning till anställda och före detta anställda utgår baserat på lön vid pensioneringstidpunkten och antalet tjänsteår. Koncernen bär risken för att de utfästa ersättningarna utbetalas. </w:t>
      </w:r>
    </w:p>
    <w:p w14:paraId="26B66380" w14:textId="77777777" w:rsidR="00011D41" w:rsidRPr="00F65CC7" w:rsidRDefault="00011D41" w:rsidP="00011D41">
      <w:pPr>
        <w:widowControl/>
        <w:autoSpaceDE/>
        <w:autoSpaceDN/>
        <w:adjustRightInd/>
        <w:jc w:val="both"/>
        <w:rPr>
          <w:rFonts w:ascii="Calibri" w:hAnsi="Calibri"/>
          <w:color w:val="auto"/>
        </w:rPr>
      </w:pPr>
    </w:p>
    <w:p w14:paraId="3E13F167" w14:textId="77777777" w:rsidR="00011D41" w:rsidRPr="00F65CC7" w:rsidRDefault="00011D41" w:rsidP="00011D41">
      <w:pPr>
        <w:pStyle w:val="A59"/>
        <w:tabs>
          <w:tab w:val="left" w:pos="0"/>
        </w:tabs>
        <w:jc w:val="both"/>
        <w:rPr>
          <w:rFonts w:ascii="Calibri" w:hAnsi="Calibri"/>
        </w:rPr>
      </w:pPr>
      <w:r w:rsidRPr="00F65CC7">
        <w:rPr>
          <w:rFonts w:ascii="Calibri" w:hAnsi="Calibri"/>
        </w:rPr>
        <w:t>Skatter</w:t>
      </w:r>
    </w:p>
    <w:p w14:paraId="1E20D656" w14:textId="77777777" w:rsidR="00011D41" w:rsidRPr="00F65CC7" w:rsidRDefault="00011D41" w:rsidP="00011D41">
      <w:pPr>
        <w:jc w:val="both"/>
        <w:rPr>
          <w:rFonts w:ascii="Calibri" w:hAnsi="Calibri"/>
          <w:color w:val="auto"/>
        </w:rPr>
      </w:pPr>
      <w:r w:rsidRPr="00F65CC7">
        <w:rPr>
          <w:rFonts w:ascii="Calibri" w:hAnsi="Calibri"/>
          <w:color w:val="auto"/>
        </w:rPr>
        <w:t>Skatt på årets resultat i resultaträkningen består av aktuell skatt och uppskjuten skatt. Aktuell</w:t>
      </w:r>
      <w:r w:rsidRPr="00F65CC7">
        <w:rPr>
          <w:rFonts w:ascii="Calibri" w:hAnsi="Calibri"/>
        </w:rPr>
        <w:t xml:space="preserve"> </w:t>
      </w:r>
      <w:r w:rsidRPr="00F65CC7">
        <w:rPr>
          <w:rFonts w:ascii="Calibri" w:hAnsi="Calibri"/>
          <w:color w:val="auto"/>
        </w:rPr>
        <w:t>skatt är inkomstskatt för innevarande räkenskapsår som avser årets skattepliktiga resultat och</w:t>
      </w:r>
      <w:r w:rsidRPr="00F65CC7">
        <w:rPr>
          <w:rFonts w:ascii="Calibri" w:hAnsi="Calibri"/>
        </w:rPr>
        <w:t xml:space="preserve"> </w:t>
      </w:r>
      <w:r w:rsidRPr="00F65CC7">
        <w:rPr>
          <w:rFonts w:ascii="Calibri" w:hAnsi="Calibri"/>
          <w:color w:val="auto"/>
        </w:rPr>
        <w:t>den del av tidigare räkenskapsårs inkomstskatt som ännu inte har redovisats. Uppskjuten skatt</w:t>
      </w:r>
      <w:r w:rsidRPr="00F65CC7">
        <w:rPr>
          <w:rFonts w:ascii="Calibri" w:hAnsi="Calibri"/>
        </w:rPr>
        <w:t xml:space="preserve"> </w:t>
      </w:r>
      <w:r w:rsidRPr="00F65CC7">
        <w:rPr>
          <w:rFonts w:ascii="Calibri" w:hAnsi="Calibri"/>
          <w:color w:val="auto"/>
        </w:rPr>
        <w:t>är inkomstskatt för skattepliktigt resultat avseende framtida räkenskapsår till följd av tidigare transaktioner eller händelser.</w:t>
      </w:r>
    </w:p>
    <w:p w14:paraId="6CCB5384" w14:textId="77777777" w:rsidR="00011D41" w:rsidRPr="00F65CC7" w:rsidRDefault="00011D41" w:rsidP="00011D41">
      <w:pPr>
        <w:jc w:val="both"/>
        <w:rPr>
          <w:rFonts w:ascii="Calibri" w:hAnsi="Calibri"/>
          <w:color w:val="auto"/>
        </w:rPr>
      </w:pPr>
    </w:p>
    <w:p w14:paraId="4F4FEA96" w14:textId="77777777" w:rsidR="00011D41" w:rsidRDefault="00011D41" w:rsidP="00011D41">
      <w:pPr>
        <w:jc w:val="both"/>
        <w:rPr>
          <w:rFonts w:ascii="Calibri" w:hAnsi="Calibri"/>
          <w:color w:val="auto"/>
        </w:rPr>
      </w:pPr>
      <w:r w:rsidRPr="00F65CC7">
        <w:rPr>
          <w:rFonts w:ascii="Calibri" w:hAnsi="Calibri"/>
          <w:color w:val="auto"/>
        </w:rPr>
        <w:t>Uppskjuten skatteskuld redovisas för alla skattepliktiga temporära skillnader, dock särredovisas</w:t>
      </w:r>
      <w:r w:rsidRPr="00F65CC7">
        <w:rPr>
          <w:rFonts w:ascii="Calibri" w:hAnsi="Calibri"/>
        </w:rPr>
        <w:t xml:space="preserve"> </w:t>
      </w:r>
      <w:r w:rsidRPr="00F65CC7">
        <w:rPr>
          <w:rFonts w:ascii="Calibri" w:hAnsi="Calibri"/>
          <w:color w:val="auto"/>
        </w:rPr>
        <w:t>inte uppskjuten skatt hänförlig till obeskattade reserver eftersom obeskattade reserver redovisas</w:t>
      </w:r>
      <w:r w:rsidRPr="00F65CC7">
        <w:rPr>
          <w:rFonts w:ascii="Calibri" w:hAnsi="Calibri"/>
        </w:rPr>
        <w:t xml:space="preserve"> </w:t>
      </w:r>
      <w:r w:rsidRPr="00F65CC7">
        <w:rPr>
          <w:rFonts w:ascii="Calibri" w:hAnsi="Calibri"/>
          <w:color w:val="auto"/>
        </w:rPr>
        <w:t>som en egen post i balansräkningen. Uppskjuten skattefordran redovisas för avdragsgilla</w:t>
      </w:r>
      <w:r w:rsidRPr="00F65CC7">
        <w:rPr>
          <w:rFonts w:ascii="Calibri" w:hAnsi="Calibri"/>
        </w:rPr>
        <w:t xml:space="preserve"> </w:t>
      </w:r>
      <w:r w:rsidRPr="00F65CC7">
        <w:rPr>
          <w:rFonts w:ascii="Calibri" w:hAnsi="Calibri"/>
          <w:color w:val="auto"/>
        </w:rPr>
        <w:t>temporära skillnader och för möjligheten att i framtiden använda skattemässiga underskottsavdrag.</w:t>
      </w:r>
      <w:r w:rsidRPr="00F65CC7">
        <w:rPr>
          <w:rFonts w:ascii="Calibri" w:hAnsi="Calibri"/>
        </w:rPr>
        <w:t xml:space="preserve"> </w:t>
      </w:r>
      <w:r w:rsidRPr="00F65CC7">
        <w:rPr>
          <w:rFonts w:ascii="Calibri" w:hAnsi="Calibri"/>
          <w:color w:val="auto"/>
        </w:rPr>
        <w:t>Värderingen baseras på hur det redovisade värdet för motsvarande tillgång eller skuld förväntas</w:t>
      </w:r>
      <w:r w:rsidRPr="00F65CC7">
        <w:rPr>
          <w:rFonts w:ascii="Calibri" w:hAnsi="Calibri"/>
        </w:rPr>
        <w:t xml:space="preserve"> </w:t>
      </w:r>
      <w:r w:rsidRPr="00F65CC7">
        <w:rPr>
          <w:rFonts w:ascii="Calibri" w:hAnsi="Calibri"/>
          <w:color w:val="auto"/>
        </w:rPr>
        <w:t>återvinnas respektive regleras. Beloppen baseras på de skattesatser och skatteregler som är</w:t>
      </w:r>
      <w:r w:rsidRPr="00F65CC7">
        <w:rPr>
          <w:rFonts w:ascii="Calibri" w:hAnsi="Calibri"/>
        </w:rPr>
        <w:t xml:space="preserve"> </w:t>
      </w:r>
      <w:r w:rsidRPr="00F65CC7">
        <w:rPr>
          <w:rFonts w:ascii="Calibri" w:hAnsi="Calibri"/>
          <w:color w:val="auto"/>
        </w:rPr>
        <w:t>beslutade före balansdagen och har inte nuvärde</w:t>
      </w:r>
      <w:r>
        <w:rPr>
          <w:rFonts w:ascii="Calibri" w:hAnsi="Calibri"/>
          <w:color w:val="auto"/>
        </w:rPr>
        <w:t>s</w:t>
      </w:r>
      <w:r w:rsidRPr="00F65CC7">
        <w:rPr>
          <w:rFonts w:ascii="Calibri" w:hAnsi="Calibri"/>
          <w:color w:val="auto"/>
        </w:rPr>
        <w:t>beräknats.</w:t>
      </w:r>
    </w:p>
    <w:p w14:paraId="47E74B3E" w14:textId="77777777" w:rsidR="00011D41" w:rsidRDefault="00011D41" w:rsidP="00011D41">
      <w:pPr>
        <w:jc w:val="both"/>
        <w:rPr>
          <w:rFonts w:ascii="Calibri" w:hAnsi="Calibri"/>
          <w:color w:val="auto"/>
        </w:rPr>
      </w:pPr>
    </w:p>
    <w:p w14:paraId="0F3E5FB2" w14:textId="77777777" w:rsidR="00011D41" w:rsidRPr="006C0C37" w:rsidRDefault="00011D41" w:rsidP="00011D41">
      <w:pPr>
        <w:jc w:val="both"/>
        <w:rPr>
          <w:rFonts w:ascii="Calibri" w:hAnsi="Calibri" w:cs="Calibri"/>
          <w:color w:val="auto"/>
        </w:rPr>
      </w:pPr>
      <w:r w:rsidRPr="006C0C37">
        <w:rPr>
          <w:rFonts w:ascii="Calibri" w:hAnsi="Calibri" w:cs="Calibri"/>
          <w:color w:val="auto"/>
        </w:rPr>
        <w:t>Uppskjuten skatt ingår i avsättningar med 20,6%.</w:t>
      </w:r>
    </w:p>
    <w:p w14:paraId="66E9DECB" w14:textId="77777777" w:rsidR="00011D41" w:rsidRPr="00F65CC7" w:rsidRDefault="00011D41" w:rsidP="00011D41">
      <w:pPr>
        <w:jc w:val="both"/>
        <w:rPr>
          <w:rFonts w:ascii="Calibri" w:hAnsi="Calibri"/>
          <w:b/>
          <w:bCs/>
        </w:rPr>
      </w:pPr>
    </w:p>
    <w:p w14:paraId="3514F540" w14:textId="77777777" w:rsidR="00011D41" w:rsidRPr="00F65CC7" w:rsidRDefault="00011D41" w:rsidP="00011D41">
      <w:pPr>
        <w:pStyle w:val="A59"/>
        <w:tabs>
          <w:tab w:val="left" w:pos="0"/>
        </w:tabs>
        <w:jc w:val="both"/>
        <w:rPr>
          <w:rFonts w:ascii="Calibri" w:hAnsi="Calibri" w:cs="Arial"/>
          <w:b w:val="0"/>
          <w:bCs w:val="0"/>
          <w:color w:val="auto"/>
        </w:rPr>
      </w:pPr>
      <w:r w:rsidRPr="00F65CC7">
        <w:rPr>
          <w:rFonts w:ascii="Calibri" w:hAnsi="Calibri"/>
        </w:rPr>
        <w:t>Avsättningar</w:t>
      </w:r>
      <w:r w:rsidRPr="00F65CC7">
        <w:rPr>
          <w:rFonts w:ascii="Calibri" w:hAnsi="Calibri" w:cs="Arial"/>
          <w:color w:val="auto"/>
        </w:rPr>
        <w:t xml:space="preserve"> </w:t>
      </w:r>
    </w:p>
    <w:p w14:paraId="00117A7C" w14:textId="77777777" w:rsidR="00011D41" w:rsidRPr="00F65CC7" w:rsidRDefault="00011D41" w:rsidP="00011D41">
      <w:pPr>
        <w:jc w:val="both"/>
        <w:rPr>
          <w:rFonts w:ascii="Calibri" w:hAnsi="Calibri"/>
          <w:color w:val="auto"/>
        </w:rPr>
      </w:pPr>
      <w:r w:rsidRPr="00F65CC7">
        <w:rPr>
          <w:rFonts w:ascii="Calibri" w:hAnsi="Calibri"/>
          <w:color w:val="auto"/>
        </w:rPr>
        <w:t xml:space="preserve">En avsättning redovisas i balansräkningen när </w:t>
      </w:r>
      <w:r>
        <w:rPr>
          <w:rFonts w:ascii="Calibri" w:hAnsi="Calibri"/>
          <w:color w:val="auto"/>
        </w:rPr>
        <w:t>bolag</w:t>
      </w:r>
      <w:r w:rsidRPr="00F65CC7">
        <w:rPr>
          <w:rFonts w:ascii="Calibri" w:hAnsi="Calibri"/>
          <w:color w:val="auto"/>
        </w:rPr>
        <w:t xml:space="preserve">et har en legal eller informell förpliktelse till följd av en inträffad händelse och det är sannolikt att ett utflöde av resurser krävs för att reglera förpliktelsen och en tillförlitlig uppskattning av beloppet kan göras. </w:t>
      </w:r>
    </w:p>
    <w:p w14:paraId="39949F8B" w14:textId="77777777" w:rsidR="00011D41" w:rsidRPr="00F65CC7" w:rsidRDefault="00011D41" w:rsidP="00011D41">
      <w:pPr>
        <w:jc w:val="both"/>
        <w:rPr>
          <w:rFonts w:ascii="Calibri" w:hAnsi="Calibri"/>
          <w:color w:val="auto"/>
        </w:rPr>
      </w:pPr>
    </w:p>
    <w:p w14:paraId="15B96FB1" w14:textId="77777777" w:rsidR="00011D41" w:rsidRDefault="00011D41" w:rsidP="00011D41">
      <w:pPr>
        <w:jc w:val="both"/>
        <w:rPr>
          <w:rFonts w:ascii="Calibri" w:hAnsi="Calibri"/>
          <w:color w:val="auto"/>
        </w:rPr>
      </w:pPr>
      <w:r w:rsidRPr="00F65CC7">
        <w:rPr>
          <w:rFonts w:ascii="Calibri" w:hAnsi="Calibri"/>
          <w:color w:val="auto"/>
        </w:rPr>
        <w:t>Vid första redovisningstillfället värderas avsättningar till den bästa uppskattningen av det belopp som kommer att krävas för att reglera förpliktelsen på balansdagen. Avsättningarna omprövas varje balansdag.</w:t>
      </w:r>
    </w:p>
    <w:p w14:paraId="05FE9266" w14:textId="77777777" w:rsidR="00011D41" w:rsidRDefault="00011D41" w:rsidP="00011D41">
      <w:pPr>
        <w:pStyle w:val="A59"/>
        <w:tabs>
          <w:tab w:val="left" w:pos="0"/>
        </w:tabs>
        <w:jc w:val="both"/>
        <w:rPr>
          <w:rFonts w:ascii="Calibri" w:hAnsi="Calibri"/>
        </w:rPr>
      </w:pPr>
    </w:p>
    <w:p w14:paraId="12431645" w14:textId="77777777" w:rsidR="00011D41" w:rsidRPr="00F65CC7" w:rsidRDefault="00011D41" w:rsidP="00011D41">
      <w:pPr>
        <w:pStyle w:val="A59"/>
        <w:tabs>
          <w:tab w:val="left" w:pos="0"/>
        </w:tabs>
        <w:jc w:val="both"/>
        <w:rPr>
          <w:rFonts w:ascii="Calibri" w:hAnsi="Calibri"/>
          <w:color w:val="FF0000"/>
        </w:rPr>
      </w:pPr>
      <w:r w:rsidRPr="00F65CC7">
        <w:rPr>
          <w:rFonts w:ascii="Calibri" w:hAnsi="Calibri"/>
        </w:rPr>
        <w:t xml:space="preserve">Skulder för elcertifikat </w:t>
      </w:r>
      <w:r w:rsidRPr="00F65CC7">
        <w:rPr>
          <w:rFonts w:ascii="Calibri" w:hAnsi="Calibri"/>
          <w:color w:val="auto"/>
        </w:rPr>
        <w:t>och utsläppsrätter</w:t>
      </w:r>
    </w:p>
    <w:p w14:paraId="32BA05EC" w14:textId="77777777" w:rsidR="00011D41" w:rsidRPr="00F65CC7" w:rsidRDefault="00011D41" w:rsidP="00011D41">
      <w:pPr>
        <w:jc w:val="both"/>
        <w:rPr>
          <w:rFonts w:ascii="Calibri" w:hAnsi="Calibri"/>
          <w:color w:val="auto"/>
        </w:rPr>
      </w:pPr>
      <w:r w:rsidRPr="00F65CC7">
        <w:rPr>
          <w:rFonts w:ascii="Calibri" w:hAnsi="Calibri"/>
          <w:color w:val="auto"/>
        </w:rPr>
        <w:t xml:space="preserve">Skulder för elcertifikat uppkommer i takt med försäljning. Skulder för utsläppsrätter uppkommer i takt med utsläpp vid produktion. Skulden värderas till samma värde som tilldelade och anskaffade rättigheter. Här tas även hänsyn till avtal om framtida leverans av rättigheter och möjligheten till </w:t>
      </w:r>
      <w:r w:rsidRPr="00F65CC7">
        <w:rPr>
          <w:rFonts w:ascii="Calibri" w:hAnsi="Calibri"/>
          <w:color w:val="auto"/>
        </w:rPr>
        <w:lastRenderedPageBreak/>
        <w:t>reglering av elcertifikat genom betalning av kvotpliktsavgift. Skulder för elcertifikat och utsläppsrätter redovisas som en övrig kortfristig skuld.</w:t>
      </w:r>
    </w:p>
    <w:p w14:paraId="2581F2B2" w14:textId="77777777" w:rsidR="00011D41" w:rsidRPr="00F65CC7" w:rsidRDefault="00011D41" w:rsidP="00011D41">
      <w:pPr>
        <w:jc w:val="both"/>
        <w:rPr>
          <w:rFonts w:ascii="Calibri" w:hAnsi="Calibri" w:cs="Arial"/>
          <w:color w:val="auto"/>
        </w:rPr>
      </w:pPr>
    </w:p>
    <w:p w14:paraId="054866D7" w14:textId="77777777" w:rsidR="00011D41" w:rsidRPr="00F65CC7" w:rsidRDefault="00011D41" w:rsidP="00011D41">
      <w:pPr>
        <w:pStyle w:val="A59"/>
        <w:tabs>
          <w:tab w:val="left" w:pos="0"/>
        </w:tabs>
        <w:jc w:val="both"/>
        <w:rPr>
          <w:rFonts w:ascii="Calibri" w:hAnsi="Calibri"/>
        </w:rPr>
      </w:pPr>
      <w:proofErr w:type="spellStart"/>
      <w:r w:rsidRPr="00F65CC7">
        <w:rPr>
          <w:rFonts w:ascii="Calibri" w:hAnsi="Calibri"/>
        </w:rPr>
        <w:t>Eventualförpliktelser</w:t>
      </w:r>
      <w:proofErr w:type="spellEnd"/>
    </w:p>
    <w:p w14:paraId="459E0738" w14:textId="77777777" w:rsidR="00011D41" w:rsidRPr="00F65CC7" w:rsidRDefault="00011D41" w:rsidP="00011D41">
      <w:pPr>
        <w:jc w:val="both"/>
        <w:rPr>
          <w:rFonts w:ascii="Calibri" w:hAnsi="Calibri"/>
          <w:color w:val="auto"/>
        </w:rPr>
      </w:pPr>
      <w:r w:rsidRPr="00F65CC7">
        <w:rPr>
          <w:rFonts w:ascii="Calibri" w:hAnsi="Calibri"/>
          <w:color w:val="auto"/>
        </w:rPr>
        <w:t xml:space="preserve">En </w:t>
      </w:r>
      <w:proofErr w:type="spellStart"/>
      <w:r w:rsidRPr="00F65CC7">
        <w:rPr>
          <w:rFonts w:ascii="Calibri" w:hAnsi="Calibri"/>
          <w:color w:val="auto"/>
        </w:rPr>
        <w:t>eventualförpliktelse</w:t>
      </w:r>
      <w:proofErr w:type="spellEnd"/>
      <w:r w:rsidRPr="00F65CC7">
        <w:rPr>
          <w:rFonts w:ascii="Calibri" w:hAnsi="Calibri"/>
          <w:color w:val="auto"/>
        </w:rPr>
        <w:t xml:space="preserve"> redovisas inom linjen när det finns:</w:t>
      </w:r>
    </w:p>
    <w:p w14:paraId="5A87C343" w14:textId="77777777" w:rsidR="00011D41" w:rsidRPr="00F65CC7" w:rsidRDefault="00011D41" w:rsidP="00011D41">
      <w:pPr>
        <w:jc w:val="both"/>
        <w:rPr>
          <w:rFonts w:ascii="Calibri" w:hAnsi="Calibri"/>
          <w:color w:val="auto"/>
        </w:rPr>
      </w:pPr>
      <w:r w:rsidRPr="00F65CC7">
        <w:rPr>
          <w:rFonts w:ascii="Calibri" w:hAnsi="Calibri"/>
          <w:color w:val="auto"/>
        </w:rPr>
        <w:t>- en möjlig förpliktelse som härrör till följd av inträffade händelser och vars förekomst endast kommer att bekräftas av en eller flera osäkra framtida händel</w:t>
      </w:r>
      <w:r>
        <w:rPr>
          <w:rFonts w:ascii="Calibri" w:hAnsi="Calibri"/>
          <w:color w:val="auto"/>
        </w:rPr>
        <w:t>ser, som inte helt ligger inom bolag</w:t>
      </w:r>
      <w:r w:rsidRPr="00F65CC7">
        <w:rPr>
          <w:rFonts w:ascii="Calibri" w:hAnsi="Calibri"/>
          <w:color w:val="auto"/>
        </w:rPr>
        <w:t>ets kontroll, inträffar eller uteblir, eller</w:t>
      </w:r>
    </w:p>
    <w:p w14:paraId="255ACBF7" w14:textId="77777777" w:rsidR="00011D41" w:rsidRPr="00F65CC7" w:rsidRDefault="00011D41" w:rsidP="00011D41">
      <w:pPr>
        <w:jc w:val="both"/>
        <w:rPr>
          <w:rFonts w:ascii="Calibri" w:hAnsi="Calibri"/>
          <w:color w:val="auto"/>
        </w:rPr>
      </w:pPr>
      <w:r w:rsidRPr="00F65CC7">
        <w:rPr>
          <w:rFonts w:ascii="Calibri" w:hAnsi="Calibri"/>
          <w:color w:val="auto"/>
        </w:rPr>
        <w:t>- en befintlig förpliktelse till följd av inträffade händelser, men som inte redovisas som skuld eller avsättning eftersom det inte är sannolikt att ett utflöde av resurser kommer att krävas för att reglera förpliktelsen eller förpliktelsens storlek inte kan beräknas med tillräcklig tillförlitlighet.</w:t>
      </w:r>
    </w:p>
    <w:p w14:paraId="274F886A" w14:textId="77777777" w:rsidR="00011D41" w:rsidRPr="00F65CC7" w:rsidRDefault="00011D41" w:rsidP="00011D41">
      <w:pPr>
        <w:jc w:val="both"/>
        <w:rPr>
          <w:rFonts w:ascii="Calibri" w:hAnsi="Calibri" w:cs="Arial"/>
          <w:color w:val="auto"/>
        </w:rPr>
      </w:pPr>
    </w:p>
    <w:p w14:paraId="31312180" w14:textId="77777777" w:rsidR="00011D41" w:rsidRPr="00F65CC7" w:rsidRDefault="00011D41" w:rsidP="00011D41">
      <w:pPr>
        <w:pStyle w:val="A59"/>
        <w:tabs>
          <w:tab w:val="left" w:pos="0"/>
        </w:tabs>
        <w:jc w:val="both"/>
        <w:rPr>
          <w:rFonts w:ascii="Calibri" w:hAnsi="Calibri"/>
        </w:rPr>
      </w:pPr>
      <w:r w:rsidRPr="00F65CC7">
        <w:rPr>
          <w:rFonts w:ascii="Calibri" w:hAnsi="Calibri"/>
        </w:rPr>
        <w:t>Koncernbidrag och aktieägartillskott</w:t>
      </w:r>
    </w:p>
    <w:p w14:paraId="44DF00EB" w14:textId="77777777" w:rsidR="00011D41" w:rsidRPr="00F65CC7" w:rsidRDefault="00011D41" w:rsidP="00011D41">
      <w:pPr>
        <w:jc w:val="both"/>
        <w:rPr>
          <w:rFonts w:ascii="Calibri" w:hAnsi="Calibri"/>
          <w:color w:val="auto"/>
        </w:rPr>
      </w:pPr>
      <w:r w:rsidRPr="00F65CC7">
        <w:rPr>
          <w:rFonts w:ascii="Calibri" w:hAnsi="Calibri"/>
          <w:color w:val="auto"/>
        </w:rPr>
        <w:t xml:space="preserve">Koncernbidrag som erhållits/lämnats redovisas som en bokslutsdisposition i resultaträkningen. Det erhållna/lämnade koncernbidraget har påverkat </w:t>
      </w:r>
      <w:r>
        <w:rPr>
          <w:rFonts w:ascii="Calibri" w:hAnsi="Calibri"/>
          <w:color w:val="auto"/>
        </w:rPr>
        <w:t>bolag</w:t>
      </w:r>
      <w:r w:rsidRPr="00F65CC7">
        <w:rPr>
          <w:rFonts w:ascii="Calibri" w:hAnsi="Calibri"/>
          <w:color w:val="auto"/>
        </w:rPr>
        <w:t xml:space="preserve">ets aktuella skatt. </w:t>
      </w:r>
    </w:p>
    <w:p w14:paraId="3A3313E9" w14:textId="77777777" w:rsidR="00011D41" w:rsidRPr="00F65CC7" w:rsidRDefault="00011D41" w:rsidP="00011D41">
      <w:pPr>
        <w:jc w:val="both"/>
        <w:rPr>
          <w:rFonts w:ascii="Calibri" w:hAnsi="Calibri"/>
          <w:color w:val="auto"/>
        </w:rPr>
      </w:pPr>
    </w:p>
    <w:p w14:paraId="548F91A2" w14:textId="77777777" w:rsidR="00011D41" w:rsidRPr="00F65CC7" w:rsidRDefault="00011D41" w:rsidP="00011D41">
      <w:pPr>
        <w:jc w:val="both"/>
        <w:rPr>
          <w:rFonts w:ascii="Calibri" w:hAnsi="Calibri"/>
          <w:color w:val="auto"/>
        </w:rPr>
      </w:pPr>
      <w:r w:rsidRPr="00F65CC7">
        <w:rPr>
          <w:rFonts w:ascii="Calibri" w:hAnsi="Calibri"/>
          <w:color w:val="auto"/>
        </w:rPr>
        <w:t xml:space="preserve">Aktieägartillskott som erhållits utan att emitterade aktier eller andra </w:t>
      </w:r>
      <w:proofErr w:type="spellStart"/>
      <w:r w:rsidRPr="00F65CC7">
        <w:rPr>
          <w:rFonts w:ascii="Calibri" w:hAnsi="Calibri"/>
          <w:color w:val="auto"/>
        </w:rPr>
        <w:t>egetkapitalinstrument</w:t>
      </w:r>
      <w:proofErr w:type="spellEnd"/>
      <w:r w:rsidRPr="00F65CC7">
        <w:rPr>
          <w:rFonts w:ascii="Calibri" w:hAnsi="Calibri"/>
          <w:color w:val="auto"/>
        </w:rPr>
        <w:t xml:space="preserve"> lämnats i utbyte redovisas direkt i eget kapital. </w:t>
      </w:r>
    </w:p>
    <w:p w14:paraId="22D2D257" w14:textId="77777777" w:rsidR="00011D41" w:rsidRPr="00F65CC7" w:rsidRDefault="00011D41" w:rsidP="00011D41">
      <w:pPr>
        <w:widowControl/>
        <w:autoSpaceDE/>
        <w:autoSpaceDN/>
        <w:adjustRightInd/>
        <w:jc w:val="both"/>
        <w:rPr>
          <w:rFonts w:ascii="Calibri" w:hAnsi="Calibri" w:cs="Arial"/>
          <w:color w:val="auto"/>
        </w:rPr>
      </w:pPr>
    </w:p>
    <w:p w14:paraId="0CDC08F5" w14:textId="77777777" w:rsidR="00011D41" w:rsidRPr="00F65CC7" w:rsidRDefault="00011D41" w:rsidP="00011D41">
      <w:pPr>
        <w:pStyle w:val="A62"/>
        <w:jc w:val="both"/>
        <w:rPr>
          <w:rFonts w:ascii="Calibri" w:hAnsi="Calibri"/>
        </w:rPr>
      </w:pPr>
      <w:r w:rsidRPr="00F65CC7">
        <w:rPr>
          <w:rFonts w:ascii="Calibri" w:hAnsi="Calibri"/>
        </w:rPr>
        <w:t>Redovisningsprinciper i moderbolaget</w:t>
      </w:r>
    </w:p>
    <w:p w14:paraId="70505F11" w14:textId="77777777" w:rsidR="00011D41" w:rsidRPr="00F65CC7" w:rsidRDefault="00011D41" w:rsidP="00011D41">
      <w:pPr>
        <w:pStyle w:val="A62"/>
        <w:jc w:val="both"/>
        <w:rPr>
          <w:rFonts w:ascii="Calibri" w:hAnsi="Calibri"/>
          <w:b w:val="0"/>
          <w:color w:val="auto"/>
        </w:rPr>
      </w:pPr>
      <w:r w:rsidRPr="00F65CC7">
        <w:rPr>
          <w:rFonts w:ascii="Calibri" w:hAnsi="Calibri"/>
          <w:b w:val="0"/>
          <w:color w:val="auto"/>
        </w:rPr>
        <w:t>Redovisningsprinciperna i moderbolaget överensstämmer med de ovan angivna redovisningsprinciperna i koncernredovisningen utom i nedanstående fall.</w:t>
      </w:r>
    </w:p>
    <w:p w14:paraId="565BF4A1" w14:textId="77777777" w:rsidR="00011D41" w:rsidRPr="00106542" w:rsidRDefault="00011D41" w:rsidP="00011D41">
      <w:pPr>
        <w:pStyle w:val="A62"/>
        <w:jc w:val="both"/>
        <w:rPr>
          <w:shd w:val="clear" w:color="auto" w:fill="DCDDDD"/>
        </w:rPr>
      </w:pPr>
    </w:p>
    <w:p w14:paraId="20C49C3B" w14:textId="77777777" w:rsidR="00011D41" w:rsidRPr="00F65CC7" w:rsidRDefault="00011D41" w:rsidP="00011D41">
      <w:pPr>
        <w:pStyle w:val="A62"/>
        <w:jc w:val="both"/>
        <w:rPr>
          <w:i/>
          <w:iCs/>
        </w:rPr>
      </w:pPr>
      <w:r w:rsidRPr="00F65CC7">
        <w:rPr>
          <w:i/>
          <w:iCs/>
        </w:rPr>
        <w:t>Leasing</w:t>
      </w:r>
    </w:p>
    <w:p w14:paraId="31AA51CF" w14:textId="77777777" w:rsidR="00011D41" w:rsidRDefault="00011D41" w:rsidP="00011D41">
      <w:pPr>
        <w:pStyle w:val="A62"/>
        <w:jc w:val="both"/>
        <w:rPr>
          <w:rFonts w:ascii="Calibri" w:hAnsi="Calibri"/>
          <w:b w:val="0"/>
          <w:color w:val="auto"/>
        </w:rPr>
      </w:pPr>
      <w:r w:rsidRPr="00F65CC7">
        <w:rPr>
          <w:rFonts w:ascii="Calibri" w:hAnsi="Calibri"/>
          <w:b w:val="0"/>
          <w:color w:val="auto"/>
        </w:rPr>
        <w:t>Finansiella leasingavtal redovisas som operationella leasingavtal i moderbolaget.</w:t>
      </w:r>
    </w:p>
    <w:p w14:paraId="6E114BE3" w14:textId="77777777" w:rsidR="00011D41" w:rsidRDefault="00011D41" w:rsidP="00011D41">
      <w:pPr>
        <w:pStyle w:val="A62"/>
        <w:jc w:val="both"/>
        <w:rPr>
          <w:rFonts w:ascii="Calibri" w:hAnsi="Calibri"/>
          <w:b w:val="0"/>
          <w:color w:val="auto"/>
        </w:rPr>
      </w:pPr>
    </w:p>
    <w:p w14:paraId="28992D91" w14:textId="77777777" w:rsidR="00011D41" w:rsidRDefault="00011D41" w:rsidP="00011D41">
      <w:pPr>
        <w:pStyle w:val="A62"/>
        <w:jc w:val="both"/>
        <w:rPr>
          <w:rFonts w:ascii="Calibri" w:hAnsi="Calibri"/>
          <w:b w:val="0"/>
          <w:color w:val="auto"/>
        </w:rPr>
      </w:pPr>
    </w:p>
    <w:p w14:paraId="1775CEF2" w14:textId="77777777" w:rsidR="00011D41" w:rsidRPr="00F65CC7" w:rsidRDefault="00011D41" w:rsidP="00011D41">
      <w:pPr>
        <w:pStyle w:val="Rubrik2B"/>
        <w:rPr>
          <w:rFonts w:ascii="Calibri" w:hAnsi="Calibri"/>
          <w:sz w:val="22"/>
          <w:szCs w:val="22"/>
        </w:rPr>
      </w:pPr>
      <w:r w:rsidRPr="00F65CC7">
        <w:rPr>
          <w:rFonts w:ascii="Calibri" w:hAnsi="Calibri"/>
          <w:sz w:val="22"/>
          <w:szCs w:val="22"/>
        </w:rPr>
        <w:t>Not 2 Väsentliga uppskattningar och bedömningar</w:t>
      </w:r>
    </w:p>
    <w:p w14:paraId="1D90E764" w14:textId="77777777" w:rsidR="00011D41" w:rsidRPr="00F65CC7" w:rsidRDefault="00011D41" w:rsidP="00011D41">
      <w:pPr>
        <w:pStyle w:val="Rubrik2B"/>
        <w:jc w:val="both"/>
        <w:rPr>
          <w:rFonts w:ascii="Calibri" w:hAnsi="Calibri"/>
          <w:b w:val="0"/>
          <w:sz w:val="22"/>
          <w:szCs w:val="22"/>
        </w:rPr>
      </w:pPr>
      <w:r w:rsidRPr="00F65CC7">
        <w:rPr>
          <w:rFonts w:ascii="Calibri" w:hAnsi="Calibri"/>
          <w:b w:val="0"/>
          <w:sz w:val="22"/>
          <w:szCs w:val="22"/>
        </w:rPr>
        <w:t xml:space="preserve">Upprättande av års- och koncernredovisning enligt K3 kräver att </w:t>
      </w:r>
      <w:r>
        <w:rPr>
          <w:rFonts w:ascii="Calibri" w:hAnsi="Calibri"/>
          <w:b w:val="0"/>
          <w:sz w:val="22"/>
          <w:szCs w:val="22"/>
        </w:rPr>
        <w:t>bolag</w:t>
      </w:r>
      <w:r w:rsidRPr="00F65CC7">
        <w:rPr>
          <w:rFonts w:ascii="Calibri" w:hAnsi="Calibri"/>
          <w:b w:val="0"/>
          <w:sz w:val="22"/>
          <w:szCs w:val="22"/>
        </w:rPr>
        <w:t>sledning och styrelse gör antaganden om framtiden och andra viktiga källor till osäkerhet i uppskattningar på balansdagen som innebär en betydande risk för en väsentlig justering av de redovisade värdena för tillgångar och skulder i framtiden. Det görs också bedömningar som har betydande effekt på de redovisade beloppen i denna års- och koncernredovisning.</w:t>
      </w:r>
    </w:p>
    <w:p w14:paraId="5B09BA1F" w14:textId="77777777" w:rsidR="00011D41" w:rsidRPr="00F65CC7" w:rsidRDefault="00011D41" w:rsidP="00011D41">
      <w:pPr>
        <w:pStyle w:val="Rubrik2B"/>
        <w:jc w:val="both"/>
        <w:rPr>
          <w:rFonts w:ascii="Calibri" w:hAnsi="Calibri"/>
          <w:b w:val="0"/>
          <w:sz w:val="22"/>
          <w:szCs w:val="22"/>
        </w:rPr>
      </w:pPr>
    </w:p>
    <w:p w14:paraId="1F362C74" w14:textId="77777777" w:rsidR="00011D41" w:rsidRPr="00F65CC7" w:rsidRDefault="00011D41" w:rsidP="00011D41">
      <w:pPr>
        <w:pStyle w:val="Rubrik2B"/>
        <w:jc w:val="both"/>
        <w:rPr>
          <w:rFonts w:ascii="Calibri" w:hAnsi="Calibri"/>
          <w:b w:val="0"/>
          <w:sz w:val="22"/>
          <w:szCs w:val="22"/>
        </w:rPr>
      </w:pPr>
      <w:r w:rsidRPr="00F65CC7">
        <w:rPr>
          <w:rFonts w:ascii="Calibri" w:hAnsi="Calibri"/>
          <w:b w:val="0"/>
          <w:sz w:val="22"/>
          <w:szCs w:val="22"/>
        </w:rPr>
        <w:t>Uppskattningar och bedömningar baseras på historisk erfarenhet och andra faktorer som under rådande förhållanden anses vara rimliga. Resultatet av dessa uppskattningar och bedömningar används sedan för att fastställa redovisade värden på tillgångar och skulder som inte framgår tydligt från andra källor.</w:t>
      </w:r>
    </w:p>
    <w:p w14:paraId="7C5414E9" w14:textId="77777777" w:rsidR="00011D41" w:rsidRPr="00F65CC7" w:rsidRDefault="00011D41" w:rsidP="00011D41">
      <w:pPr>
        <w:pStyle w:val="Rubrik2B"/>
        <w:jc w:val="both"/>
        <w:rPr>
          <w:rFonts w:ascii="Calibri" w:hAnsi="Calibri"/>
          <w:b w:val="0"/>
          <w:sz w:val="22"/>
          <w:szCs w:val="22"/>
        </w:rPr>
      </w:pPr>
    </w:p>
    <w:p w14:paraId="40B32661" w14:textId="77777777" w:rsidR="00011D41" w:rsidRPr="00F65CC7" w:rsidRDefault="00011D41" w:rsidP="00011D41">
      <w:pPr>
        <w:pStyle w:val="Rubrik2B"/>
        <w:jc w:val="both"/>
        <w:rPr>
          <w:rFonts w:ascii="Calibri" w:hAnsi="Calibri"/>
          <w:b w:val="0"/>
          <w:sz w:val="22"/>
          <w:szCs w:val="22"/>
        </w:rPr>
      </w:pPr>
      <w:r w:rsidRPr="00F65CC7">
        <w:rPr>
          <w:rFonts w:ascii="Calibri" w:hAnsi="Calibri"/>
          <w:b w:val="0"/>
          <w:sz w:val="22"/>
          <w:szCs w:val="22"/>
        </w:rPr>
        <w:t>Uppskattningar och bedömningar ses över årligen.</w:t>
      </w:r>
    </w:p>
    <w:p w14:paraId="33D43B45" w14:textId="77777777" w:rsidR="00011D41" w:rsidRPr="00F65CC7" w:rsidRDefault="00011D41" w:rsidP="00011D41">
      <w:pPr>
        <w:pStyle w:val="Rubrik2B"/>
        <w:jc w:val="both"/>
        <w:rPr>
          <w:rFonts w:ascii="Calibri" w:hAnsi="Calibri"/>
          <w:b w:val="0"/>
          <w:sz w:val="22"/>
          <w:szCs w:val="22"/>
        </w:rPr>
      </w:pPr>
    </w:p>
    <w:p w14:paraId="6FF28C59" w14:textId="77777777" w:rsidR="00011D41" w:rsidRPr="00F65CC7" w:rsidRDefault="00011D41" w:rsidP="00011D41">
      <w:pPr>
        <w:pStyle w:val="Rubrik2B"/>
        <w:jc w:val="both"/>
        <w:rPr>
          <w:rFonts w:ascii="Calibri" w:hAnsi="Calibri"/>
          <w:b w:val="0"/>
          <w:sz w:val="22"/>
          <w:szCs w:val="22"/>
        </w:rPr>
      </w:pPr>
      <w:r w:rsidRPr="00F65CC7">
        <w:rPr>
          <w:rFonts w:ascii="Calibri" w:hAnsi="Calibri"/>
          <w:b w:val="0"/>
          <w:sz w:val="22"/>
          <w:szCs w:val="22"/>
        </w:rPr>
        <w:t>Det slutliga utfallet av uppskattningar och bedömningar kan komma att avvika från nuvarande uppskattningar och bedömningar. Effekterna av ändringar i dessa redovisas i resultaträkningen under det räkenskapsår som ändringen görs samt under framtida räkenskapsår om ändringen påverkar både aktuellt och kommande räkenskapsår.</w:t>
      </w:r>
    </w:p>
    <w:p w14:paraId="46FF1AB5" w14:textId="77777777" w:rsidR="00011D41" w:rsidRPr="00F65CC7" w:rsidRDefault="00011D41" w:rsidP="00011D41">
      <w:pPr>
        <w:pStyle w:val="Rubrik2B"/>
        <w:jc w:val="both"/>
        <w:rPr>
          <w:rFonts w:ascii="Calibri" w:hAnsi="Calibri"/>
          <w:b w:val="0"/>
          <w:sz w:val="22"/>
          <w:szCs w:val="22"/>
        </w:rPr>
      </w:pPr>
    </w:p>
    <w:p w14:paraId="43B06CA4" w14:textId="77777777" w:rsidR="00011D41" w:rsidRDefault="00011D41" w:rsidP="00011D41">
      <w:pPr>
        <w:pStyle w:val="Rubrik2B"/>
        <w:jc w:val="both"/>
        <w:rPr>
          <w:rFonts w:ascii="Calibri" w:hAnsi="Calibri"/>
          <w:b w:val="0"/>
          <w:sz w:val="22"/>
          <w:szCs w:val="22"/>
        </w:rPr>
      </w:pPr>
      <w:r w:rsidRPr="00F65CC7">
        <w:rPr>
          <w:rFonts w:ascii="Calibri" w:hAnsi="Calibri"/>
          <w:b w:val="0"/>
          <w:sz w:val="22"/>
          <w:szCs w:val="22"/>
        </w:rPr>
        <w:t>Viktiga uppskattningar och bedömningar beskrivs nedan.</w:t>
      </w:r>
    </w:p>
    <w:p w14:paraId="6244B614" w14:textId="77777777" w:rsidR="00011D41" w:rsidRDefault="00011D41" w:rsidP="00011D41">
      <w:pPr>
        <w:pStyle w:val="Rubrik2B"/>
        <w:jc w:val="both"/>
        <w:rPr>
          <w:rFonts w:ascii="Calibri" w:hAnsi="Calibri"/>
          <w:b w:val="0"/>
          <w:sz w:val="22"/>
          <w:szCs w:val="22"/>
        </w:rPr>
      </w:pPr>
    </w:p>
    <w:p w14:paraId="010A09B1" w14:textId="77777777" w:rsidR="00011D41" w:rsidRDefault="00011D41" w:rsidP="00011D41">
      <w:pPr>
        <w:pStyle w:val="Rubrik2B"/>
        <w:rPr>
          <w:rFonts w:ascii="Calibri" w:hAnsi="Calibri"/>
          <w:sz w:val="22"/>
          <w:szCs w:val="22"/>
        </w:rPr>
      </w:pPr>
      <w:r w:rsidRPr="00202F2C">
        <w:rPr>
          <w:rFonts w:ascii="Calibri" w:hAnsi="Calibri"/>
          <w:sz w:val="22"/>
          <w:szCs w:val="22"/>
        </w:rPr>
        <w:t>Prövning av nedskrivningsbehov för immateriella, materiella och finansiella anläggningstillgångar</w:t>
      </w:r>
    </w:p>
    <w:p w14:paraId="79227868" w14:textId="77777777" w:rsidR="00011D41" w:rsidRDefault="00011D41" w:rsidP="00011D41">
      <w:pPr>
        <w:pStyle w:val="Rubrik2B"/>
        <w:rPr>
          <w:rFonts w:ascii="Calibri" w:hAnsi="Calibri"/>
          <w:sz w:val="22"/>
          <w:szCs w:val="22"/>
        </w:rPr>
      </w:pPr>
    </w:p>
    <w:p w14:paraId="3A7214F6" w14:textId="77777777" w:rsidR="00011D41" w:rsidRDefault="00011D41" w:rsidP="00011D41">
      <w:pPr>
        <w:pStyle w:val="Rubrik2B"/>
        <w:jc w:val="both"/>
        <w:rPr>
          <w:rFonts w:ascii="Calibri" w:hAnsi="Calibri"/>
          <w:b w:val="0"/>
          <w:sz w:val="22"/>
          <w:szCs w:val="22"/>
        </w:rPr>
      </w:pPr>
      <w:r w:rsidRPr="006C0C37">
        <w:rPr>
          <w:rFonts w:ascii="Calibri" w:hAnsi="Calibri"/>
          <w:b w:val="0"/>
          <w:sz w:val="22"/>
          <w:szCs w:val="22"/>
        </w:rPr>
        <w:t xml:space="preserve">Koncernen har betydande värden redovisade i balansräkningen avseende immateriella, materiella och finansiella anläggningstillgångar. Dessa testas för nedskrivningsbehov i enlighet med de </w:t>
      </w:r>
      <w:r w:rsidRPr="006C0C37">
        <w:rPr>
          <w:rFonts w:ascii="Calibri" w:hAnsi="Calibri"/>
          <w:b w:val="0"/>
          <w:sz w:val="22"/>
          <w:szCs w:val="22"/>
        </w:rPr>
        <w:lastRenderedPageBreak/>
        <w:t xml:space="preserve">redovisningsprinciper som beskrivs i koncernens Not 1 Redovisnings- och värderingsprinciper. </w:t>
      </w:r>
      <w:proofErr w:type="spellStart"/>
      <w:r w:rsidRPr="006C0C37">
        <w:rPr>
          <w:rFonts w:ascii="Calibri" w:hAnsi="Calibri"/>
          <w:b w:val="0"/>
          <w:sz w:val="22"/>
          <w:szCs w:val="22"/>
        </w:rPr>
        <w:t>Återvinningsvärden</w:t>
      </w:r>
      <w:proofErr w:type="spellEnd"/>
      <w:r w:rsidRPr="006C0C37">
        <w:rPr>
          <w:rFonts w:ascii="Calibri" w:hAnsi="Calibri"/>
          <w:b w:val="0"/>
          <w:sz w:val="22"/>
          <w:szCs w:val="22"/>
        </w:rPr>
        <w:t xml:space="preserve"> för kassagenererande enheter har fastställts genom beräkning av nyttjandevärden eller verkligt värde minus försäljningskostnader. För dessa beräkningar måste vissa uppskattningar göras avseende framtida kassaflöden och andra adekvata antaganden avseende exempelvis avkastningskrav.</w:t>
      </w:r>
    </w:p>
    <w:p w14:paraId="459AE507" w14:textId="77777777" w:rsidR="00011D41" w:rsidRDefault="00011D41" w:rsidP="00011D41">
      <w:pPr>
        <w:pStyle w:val="Rubrik2B"/>
        <w:rPr>
          <w:rFonts w:ascii="Calibri" w:hAnsi="Calibri"/>
          <w:sz w:val="22"/>
          <w:szCs w:val="22"/>
        </w:rPr>
      </w:pPr>
    </w:p>
    <w:p w14:paraId="62511834" w14:textId="77777777" w:rsidR="00011D41" w:rsidRPr="005D17AB" w:rsidRDefault="00011D41" w:rsidP="00011D41">
      <w:pPr>
        <w:pStyle w:val="Rubrik2B"/>
        <w:jc w:val="both"/>
        <w:rPr>
          <w:rFonts w:ascii="Calibri" w:hAnsi="Calibri"/>
          <w:bCs w:val="0"/>
          <w:sz w:val="22"/>
          <w:szCs w:val="22"/>
        </w:rPr>
      </w:pPr>
      <w:r w:rsidRPr="005D17AB">
        <w:rPr>
          <w:rFonts w:ascii="Calibri" w:hAnsi="Calibri"/>
          <w:bCs w:val="0"/>
          <w:sz w:val="22"/>
          <w:szCs w:val="22"/>
        </w:rPr>
        <w:t>Inkomstskatter och uppskjutna skatter</w:t>
      </w:r>
    </w:p>
    <w:p w14:paraId="5C1A7AD9" w14:textId="77777777" w:rsidR="00011D41" w:rsidRDefault="00011D41" w:rsidP="00011D41">
      <w:pPr>
        <w:pStyle w:val="Rubrik2B"/>
        <w:rPr>
          <w:rFonts w:ascii="Calibri" w:hAnsi="Calibri"/>
          <w:sz w:val="22"/>
          <w:szCs w:val="22"/>
        </w:rPr>
      </w:pPr>
    </w:p>
    <w:p w14:paraId="7EE7CF9D" w14:textId="77777777" w:rsidR="00011D41" w:rsidRDefault="00011D41" w:rsidP="00011D41">
      <w:pPr>
        <w:pStyle w:val="Rubrik2B"/>
        <w:jc w:val="both"/>
        <w:rPr>
          <w:rFonts w:ascii="Calibri" w:hAnsi="Calibri"/>
          <w:b w:val="0"/>
          <w:sz w:val="22"/>
          <w:szCs w:val="22"/>
        </w:rPr>
      </w:pPr>
      <w:r w:rsidRPr="005D17AB">
        <w:rPr>
          <w:rFonts w:ascii="Calibri" w:hAnsi="Calibri"/>
          <w:b w:val="0"/>
          <w:sz w:val="22"/>
          <w:szCs w:val="22"/>
        </w:rPr>
        <w:t>Koncernen redovisar i sin balansräkning uppskjutna skattefordringar och skulder vilka förväntas bli realiserade i framtida perioder. Vid beräkning av dessa uppskjutna skatter måste vissa antaganden och uppskattningar göras avseende framtida skattekonsekvenser som hänför sig till skillnaden mellan i balansräkningen redovisade tillgångar och skulder och motsvarande skattemässiga värden.</w:t>
      </w:r>
    </w:p>
    <w:p w14:paraId="1E14B2BF" w14:textId="77777777" w:rsidR="00011D41" w:rsidRDefault="00011D41" w:rsidP="00011D41">
      <w:pPr>
        <w:pStyle w:val="Rubrik2B"/>
        <w:rPr>
          <w:rFonts w:ascii="Calibri" w:hAnsi="Calibri"/>
          <w:sz w:val="22"/>
          <w:szCs w:val="22"/>
        </w:rPr>
      </w:pPr>
    </w:p>
    <w:p w14:paraId="1B1A14D8" w14:textId="77777777" w:rsidR="00011D41" w:rsidRPr="008E58B8" w:rsidRDefault="00011D41" w:rsidP="00011D41">
      <w:pPr>
        <w:pStyle w:val="Rubrik2B"/>
        <w:rPr>
          <w:rFonts w:ascii="Calibri" w:hAnsi="Calibri"/>
          <w:sz w:val="22"/>
          <w:szCs w:val="22"/>
        </w:rPr>
      </w:pPr>
      <w:r w:rsidRPr="005D17AB">
        <w:rPr>
          <w:rFonts w:ascii="Calibri" w:hAnsi="Calibri"/>
          <w:b w:val="0"/>
          <w:sz w:val="22"/>
          <w:szCs w:val="22"/>
        </w:rPr>
        <w:t>Uppskattningarna inkluderar även att skattelagar kommer att vara oförändrade samt att gällande regler för utnyttjande av förlustavdrag inte kommer att ändras</w:t>
      </w:r>
      <w:r>
        <w:rPr>
          <w:rFonts w:ascii="Calibri" w:hAnsi="Calibri"/>
          <w:b w:val="0"/>
          <w:sz w:val="22"/>
          <w:szCs w:val="22"/>
        </w:rPr>
        <w:t>.</w:t>
      </w:r>
    </w:p>
    <w:p w14:paraId="282205E4" w14:textId="77777777" w:rsidR="00577E20" w:rsidRPr="00011D41" w:rsidRDefault="00577E20" w:rsidP="00011D41"/>
    <w:sectPr w:rsidR="00577E20" w:rsidRPr="00011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1A7B"/>
    <w:rsid w:val="00011D41"/>
    <w:rsid w:val="00063547"/>
    <w:rsid w:val="001A1A7B"/>
    <w:rsid w:val="00577E20"/>
    <w:rsid w:val="00662672"/>
    <w:rsid w:val="008F5FA0"/>
    <w:rsid w:val="00B2175C"/>
    <w:rsid w:val="00DC0D43"/>
    <w:rsid w:val="00EE3AB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8822"/>
  <w15:chartTrackingRefBased/>
  <w15:docId w15:val="{7ED6DB14-20EC-4A21-910F-AE0F2FD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7B"/>
    <w:pPr>
      <w:widowControl w:val="0"/>
      <w:autoSpaceDE w:val="0"/>
      <w:autoSpaceDN w:val="0"/>
      <w:adjustRightInd w:val="0"/>
      <w:spacing w:after="0" w:line="240" w:lineRule="auto"/>
    </w:pPr>
    <w:rPr>
      <w:rFonts w:ascii="Times New Roman" w:eastAsiaTheme="minorEastAsia" w:hAnsi="Times New Roman" w:cs="Times New Roman"/>
      <w:color w:val="000000"/>
      <w:lang w:eastAsia="sv-SE"/>
    </w:rPr>
  </w:style>
  <w:style w:type="paragraph" w:styleId="Rubrik3">
    <w:name w:val="heading 3"/>
    <w:basedOn w:val="Normal"/>
    <w:next w:val="Normal"/>
    <w:link w:val="Rubrik3Char"/>
    <w:uiPriority w:val="99"/>
    <w:qFormat/>
    <w:rsid w:val="001A1A7B"/>
    <w:pPr>
      <w:outlineLvl w:val="2"/>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9"/>
    <w:rsid w:val="001A1A7B"/>
    <w:rPr>
      <w:rFonts w:ascii="Times New Roman" w:eastAsiaTheme="minorEastAsia" w:hAnsi="Times New Roman" w:cs="Times New Roman"/>
      <w:b/>
      <w:bCs/>
      <w:color w:val="000000"/>
      <w:sz w:val="24"/>
      <w:szCs w:val="24"/>
      <w:lang w:eastAsia="sv-SE"/>
    </w:rPr>
  </w:style>
  <w:style w:type="paragraph" w:customStyle="1" w:styleId="A53">
    <w:name w:val="___A53"/>
    <w:uiPriority w:val="99"/>
    <w:rsid w:val="001A1A7B"/>
    <w:pPr>
      <w:widowControl w:val="0"/>
      <w:autoSpaceDE w:val="0"/>
      <w:autoSpaceDN w:val="0"/>
      <w:adjustRightInd w:val="0"/>
      <w:spacing w:after="0" w:line="280" w:lineRule="atLeast"/>
    </w:pPr>
    <w:rPr>
      <w:rFonts w:ascii="Times New Roman" w:eastAsiaTheme="minorEastAsia" w:hAnsi="Times New Roman" w:cs="Times New Roman"/>
      <w:color w:val="000000"/>
      <w:lang w:eastAsia="sv-SE"/>
    </w:rPr>
  </w:style>
  <w:style w:type="paragraph" w:customStyle="1" w:styleId="Rubrik2B">
    <w:name w:val="Rubrik 2B"/>
    <w:uiPriority w:val="99"/>
    <w:rsid w:val="001A1A7B"/>
    <w:pPr>
      <w:widowControl w:val="0"/>
      <w:autoSpaceDE w:val="0"/>
      <w:autoSpaceDN w:val="0"/>
      <w:adjustRightInd w:val="0"/>
      <w:spacing w:after="0" w:line="240" w:lineRule="auto"/>
    </w:pPr>
    <w:rPr>
      <w:rFonts w:ascii="Times New Roman" w:eastAsiaTheme="minorEastAsia" w:hAnsi="Times New Roman" w:cs="Times New Roman"/>
      <w:b/>
      <w:bCs/>
      <w:color w:val="000000"/>
      <w:sz w:val="28"/>
      <w:szCs w:val="28"/>
      <w:lang w:eastAsia="sv-SE"/>
    </w:rPr>
  </w:style>
  <w:style w:type="paragraph" w:customStyle="1" w:styleId="A61">
    <w:name w:val="___A61"/>
    <w:uiPriority w:val="99"/>
    <w:rsid w:val="001A1A7B"/>
    <w:pPr>
      <w:widowControl w:val="0"/>
      <w:autoSpaceDE w:val="0"/>
      <w:autoSpaceDN w:val="0"/>
      <w:adjustRightInd w:val="0"/>
      <w:spacing w:after="0" w:line="240" w:lineRule="auto"/>
      <w:jc w:val="right"/>
    </w:pPr>
    <w:rPr>
      <w:rFonts w:ascii="Times New Roman" w:eastAsiaTheme="minorEastAsia" w:hAnsi="Times New Roman" w:cs="Times New Roman"/>
      <w:b/>
      <w:bCs/>
      <w:color w:val="000000"/>
      <w:lang w:eastAsia="sv-SE"/>
    </w:rPr>
  </w:style>
  <w:style w:type="paragraph" w:customStyle="1" w:styleId="A62">
    <w:name w:val="___A62"/>
    <w:uiPriority w:val="99"/>
    <w:rsid w:val="001A1A7B"/>
    <w:pPr>
      <w:widowControl w:val="0"/>
      <w:autoSpaceDE w:val="0"/>
      <w:autoSpaceDN w:val="0"/>
      <w:adjustRightInd w:val="0"/>
      <w:spacing w:after="0" w:line="240" w:lineRule="auto"/>
      <w:jc w:val="right"/>
    </w:pPr>
    <w:rPr>
      <w:rFonts w:ascii="Times New Roman" w:eastAsiaTheme="minorEastAsia" w:hAnsi="Times New Roman" w:cs="Times New Roman"/>
      <w:b/>
      <w:bCs/>
      <w:color w:val="000000"/>
      <w:lang w:eastAsia="sv-SE"/>
    </w:rPr>
  </w:style>
  <w:style w:type="paragraph" w:customStyle="1" w:styleId="A49">
    <w:name w:val="___A49"/>
    <w:uiPriority w:val="99"/>
    <w:rsid w:val="001A1A7B"/>
    <w:pPr>
      <w:widowControl w:val="0"/>
      <w:autoSpaceDE w:val="0"/>
      <w:autoSpaceDN w:val="0"/>
      <w:adjustRightInd w:val="0"/>
      <w:spacing w:after="0" w:line="280" w:lineRule="atLeast"/>
    </w:pPr>
    <w:rPr>
      <w:rFonts w:ascii="Times New Roman" w:eastAsiaTheme="minorEastAsia" w:hAnsi="Times New Roman" w:cs="Times New Roman"/>
      <w:color w:val="000000"/>
      <w:lang w:eastAsia="sv-SE"/>
    </w:rPr>
  </w:style>
  <w:style w:type="paragraph" w:customStyle="1" w:styleId="A55">
    <w:name w:val="___A55"/>
    <w:uiPriority w:val="99"/>
    <w:rsid w:val="001A1A7B"/>
    <w:pPr>
      <w:widowControl w:val="0"/>
      <w:autoSpaceDE w:val="0"/>
      <w:autoSpaceDN w:val="0"/>
      <w:adjustRightInd w:val="0"/>
      <w:spacing w:after="0" w:line="240" w:lineRule="auto"/>
      <w:jc w:val="right"/>
    </w:pPr>
    <w:rPr>
      <w:rFonts w:ascii="Times New Roman" w:eastAsiaTheme="minorEastAsia" w:hAnsi="Times New Roman" w:cs="Times New Roman"/>
      <w:b/>
      <w:bCs/>
      <w:color w:val="000000"/>
      <w:lang w:eastAsia="sv-SE"/>
    </w:rPr>
  </w:style>
  <w:style w:type="paragraph" w:customStyle="1" w:styleId="A59">
    <w:name w:val="___A59"/>
    <w:uiPriority w:val="99"/>
    <w:rsid w:val="001A1A7B"/>
    <w:pPr>
      <w:widowControl w:val="0"/>
      <w:autoSpaceDE w:val="0"/>
      <w:autoSpaceDN w:val="0"/>
      <w:adjustRightInd w:val="0"/>
      <w:spacing w:after="0" w:line="240" w:lineRule="auto"/>
      <w:jc w:val="right"/>
    </w:pPr>
    <w:rPr>
      <w:rFonts w:ascii="Times New Roman" w:eastAsiaTheme="minorEastAsia" w:hAnsi="Times New Roman" w:cs="Times New Roman"/>
      <w:b/>
      <w:bCs/>
      <w:color w:val="000000"/>
      <w:lang w:eastAsia="sv-SE"/>
    </w:rPr>
  </w:style>
  <w:style w:type="paragraph" w:customStyle="1" w:styleId="A48">
    <w:name w:val="___A48"/>
    <w:uiPriority w:val="99"/>
    <w:rsid w:val="001A1A7B"/>
    <w:pPr>
      <w:widowControl w:val="0"/>
      <w:autoSpaceDE w:val="0"/>
      <w:autoSpaceDN w:val="0"/>
      <w:adjustRightInd w:val="0"/>
      <w:spacing w:after="0" w:line="240" w:lineRule="auto"/>
      <w:jc w:val="both"/>
    </w:pPr>
    <w:rPr>
      <w:rFonts w:ascii="Times New Roman" w:eastAsiaTheme="minorEastAsia" w:hAnsi="Times New Roman" w:cs="Times New Roman"/>
      <w:color w:val="000000"/>
      <w:lang w:eastAsia="sv-SE"/>
    </w:rPr>
  </w:style>
  <w:style w:type="paragraph" w:customStyle="1" w:styleId="A50">
    <w:name w:val="___A50"/>
    <w:uiPriority w:val="99"/>
    <w:rsid w:val="001A1A7B"/>
    <w:pPr>
      <w:widowControl w:val="0"/>
      <w:autoSpaceDE w:val="0"/>
      <w:autoSpaceDN w:val="0"/>
      <w:adjustRightInd w:val="0"/>
      <w:spacing w:after="0" w:line="240" w:lineRule="auto"/>
      <w:jc w:val="both"/>
    </w:pPr>
    <w:rPr>
      <w:rFonts w:ascii="Times New Roman" w:eastAsiaTheme="minorEastAsia" w:hAnsi="Times New Roman" w:cs="Times New Roman"/>
      <w:color w:val="000000"/>
      <w:lang w:eastAsia="sv-SE"/>
    </w:rPr>
  </w:style>
  <w:style w:type="paragraph" w:customStyle="1" w:styleId="A52">
    <w:name w:val="___A52"/>
    <w:uiPriority w:val="99"/>
    <w:rsid w:val="001A1A7B"/>
    <w:pPr>
      <w:widowControl w:val="0"/>
      <w:autoSpaceDE w:val="0"/>
      <w:autoSpaceDN w:val="0"/>
      <w:adjustRightInd w:val="0"/>
      <w:spacing w:after="0" w:line="240" w:lineRule="auto"/>
      <w:jc w:val="both"/>
    </w:pPr>
    <w:rPr>
      <w:rFonts w:ascii="Times New Roman" w:eastAsiaTheme="minorEastAsia" w:hAnsi="Times New Roman" w:cs="Times New Roman"/>
      <w:color w:val="000000"/>
      <w:lang w:eastAsia="sv-SE"/>
    </w:rPr>
  </w:style>
  <w:style w:type="paragraph" w:customStyle="1" w:styleId="A56">
    <w:name w:val="___A56"/>
    <w:uiPriority w:val="99"/>
    <w:rsid w:val="001A1A7B"/>
    <w:pPr>
      <w:widowControl w:val="0"/>
      <w:autoSpaceDE w:val="0"/>
      <w:autoSpaceDN w:val="0"/>
      <w:adjustRightInd w:val="0"/>
      <w:spacing w:after="0" w:line="240" w:lineRule="auto"/>
      <w:jc w:val="both"/>
    </w:pPr>
    <w:rPr>
      <w:rFonts w:ascii="Times New Roman" w:eastAsiaTheme="minorEastAsia" w:hAnsi="Times New Roman" w:cs="Times New Roman"/>
      <w:color w:val="000000"/>
      <w:lang w:eastAsia="sv-SE"/>
    </w:rPr>
  </w:style>
  <w:style w:type="paragraph" w:styleId="Ingetavstnd">
    <w:name w:val="No Spacing"/>
    <w:link w:val="IngetavstndChar"/>
    <w:uiPriority w:val="1"/>
    <w:qFormat/>
    <w:rsid w:val="001A1A7B"/>
    <w:pPr>
      <w:spacing w:after="0" w:line="240" w:lineRule="auto"/>
    </w:pPr>
    <w:rPr>
      <w:rFonts w:ascii="Times New Roman" w:eastAsiaTheme="minorEastAsia" w:hAnsi="Times New Roman" w:cs="Times New Roman"/>
      <w:sz w:val="24"/>
      <w:szCs w:val="24"/>
      <w:lang w:eastAsia="sv-SE"/>
    </w:rPr>
  </w:style>
  <w:style w:type="character" w:customStyle="1" w:styleId="IngetavstndChar">
    <w:name w:val="Inget avstånd Char"/>
    <w:link w:val="Ingetavstnd"/>
    <w:uiPriority w:val="1"/>
    <w:locked/>
    <w:rsid w:val="001A1A7B"/>
    <w:rPr>
      <w:rFonts w:ascii="Times New Roman" w:eastAsiaTheme="minorEastAsia" w:hAnsi="Times New Roman" w:cs="Times New Roman"/>
      <w:sz w:val="24"/>
      <w:szCs w:val="24"/>
      <w:lang w:eastAsia="sv-SE"/>
    </w:rPr>
  </w:style>
  <w:style w:type="paragraph" w:customStyle="1" w:styleId="A40">
    <w:name w:val="___A40"/>
    <w:uiPriority w:val="99"/>
    <w:rsid w:val="001A1A7B"/>
    <w:pPr>
      <w:widowControl w:val="0"/>
      <w:autoSpaceDE w:val="0"/>
      <w:autoSpaceDN w:val="0"/>
      <w:adjustRightInd w:val="0"/>
      <w:spacing w:after="0" w:line="280" w:lineRule="atLeast"/>
    </w:pPr>
    <w:rPr>
      <w:rFonts w:ascii="Times New Roman" w:eastAsiaTheme="minorEastAsia" w:hAnsi="Times New Roman" w:cs="Times New Roman"/>
      <w:color w:val="000000"/>
      <w:lang w:eastAsia="sv-SE"/>
    </w:rPr>
  </w:style>
  <w:style w:type="paragraph" w:customStyle="1" w:styleId="A45">
    <w:name w:val="___A45"/>
    <w:uiPriority w:val="99"/>
    <w:rsid w:val="00011D41"/>
    <w:pPr>
      <w:widowControl w:val="0"/>
      <w:autoSpaceDE w:val="0"/>
      <w:autoSpaceDN w:val="0"/>
      <w:adjustRightInd w:val="0"/>
      <w:spacing w:after="0" w:line="240" w:lineRule="auto"/>
      <w:jc w:val="both"/>
    </w:pPr>
    <w:rPr>
      <w:rFonts w:ascii="Calibri" w:eastAsia="Times New Roman" w:hAnsi="Calibri" w:cs="Calibri"/>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3088</Words>
  <Characters>16372</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Sundström</dc:creator>
  <cp:keywords/>
  <dc:description/>
  <cp:lastModifiedBy>Johanna Palo</cp:lastModifiedBy>
  <cp:revision>3</cp:revision>
  <dcterms:created xsi:type="dcterms:W3CDTF">2020-03-03T08:55:00Z</dcterms:created>
  <dcterms:modified xsi:type="dcterms:W3CDTF">2021-02-10T12:49:00Z</dcterms:modified>
</cp:coreProperties>
</file>